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/>
    <w:p>
      <w:r>
        <w:t xml:space="preserve">CITAÇÃO — DILIGÊNCIA DO AUTOR - QUANDO NÃO OCORRE DECADÊNCIA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Evita-se a decadência do prazo do art. 4º do Decreto nº 24.150/34 mediante a simples distribuição da ação. Contudo, para que persista o direito, deve a citação efetivar-se nos prazos previstos. V. também o t. DECADÊNCIA, st. DISTRIBUIÇÃO DA AÇÃO e INTERRUPÇÃO.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2026-10-26T03:26:52.758Z</dcterms:created>
  <dcterms:modified xsi:type="dcterms:W3CDTF">2026-10-26T03:26:52.758Z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