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VENDEDOR</w:t>
      </w:r>
    </w:p>
    <w:p/>
    <w:p>
      <w:r>
        <w:rPr>
          <w:b/>
          <w:bCs/>
        </w:rPr>
        <w:t xml:space="preserve">Julgado em: </w:t>
      </w:r>
      <w:r>
        <w:t xml:space="preserve">07/08/1980</w:t>
      </w:r>
    </w:p>
    <w:p/>
    <w:p>
      <w:r>
        <w:t xml:space="preserve">IMPUGNAÇÃO DO LANÇAMENTO — PRAZO - SE O SUSPENDE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Inocorreu a prescrição. A embargante está certa quanto diz que o auto de infração constitui ato de lançamento, nos termos dos arts. 142 e 174 do CTN, e que desde então começa a correr o prazo de prescrição. A propósito cita a lição de FÁBIO FANUCCHI, mas a cita incompleta. O pensamento de FÁBIO FANUCCHI foi bem explicitado em conferência incluída in "Curso sobre Teoria do Direito Tributário", editado pela Secretaria da Fazenda, na qual salienta que existem causas que interrompem a prescrição e causas que a suspendem. E entre as causas que suspendem a prescrição cita as enumeradas no art. 151 do CTN e diz precisamente que "o prazo de prescrição se suspende quando o contribuinte impugna o lançamento" (ob. cit., pág. 162). - É o que ocorreu no caso do auto de infração lavrado em 1972, o qual foi impugnado mediante sucessivos recursos, tendo o processo administrativo durado dois anos. Do último recurso até a propositura da execução decorreu prazo maior que o da prescrição. - ....................................... Julgado em 08-08-1980 Revista dos Tribunais. Setembro, 1981 - Vol. 551 - Pág. 79 EMFOR 400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prazo de prescrição do débito fiscal suspende-se quando o contribuinte impugna o lançamento.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2026-06-17T14:03:41.590Z</dcterms:created>
  <dcterms:modified xsi:type="dcterms:W3CDTF">2026-06-17T14:03:41.590Z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