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INADIMPLÊNCIA DO PROMIT VENDEDOR</w:t>
      </w:r>
    </w:p>
    <w:p/>
    <w:p>
      <w:r>
        <w:rPr>
          <w:b/>
          <w:bCs/>
        </w:rPr>
        <w:t xml:space="preserve">Julgado em: </w:t>
      </w:r>
      <w:r>
        <w:t xml:space="preserve">07/08/1980</w:t>
      </w:r>
    </w:p>
    <w:p/>
    <w:p>
      <w:r>
        <w:t xml:space="preserve">IMPUGNAÇÃO DO LANÇAMENTO — PRAZO - SE O SUSPENDE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Inocorreu a prescrição. A embargante está certa quanto diz que o auto de infração constitui ato de lançamento, nos termos dos arts. 142 e 174 do CTN, e que desde então começa a correr o prazo de prescrição. A propósito cita a lição de FÁBIO FANUCCHI, mas a cita incompleta. O pensamento de FÁBIO FANUCCHI foi bem explicitado em conferência incluída in "Curso sobre Teoria do Direito Tributário", editado pela Secretaria da Fazenda, na qual salienta que existem causas que interrompem a prescrição e causas que a suspendem. E entre as causas que suspendem a prescrição cita as enumeradas no art. 151 do CTN e diz precisamente que "o prazo de prescrição se suspende quando o contribuinte impugna o lançamento" (ob. cit., pág. 162). - É o que ocorreu no caso do auto de infração lavrado em 1972, o qual foi impugnado mediante sucessivos recursos, tendo o processo administrativo durado dois anos. Do último recurso até a propositura da execução decorreu prazo maior que o da prescrição. - ....................................... Julgado em 08-08-1980 Revista dos Tribunais. Setembro, 1981 - Vol. 551 - Pág. 79 EMFOR 400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prazo de prescrição do débito fiscal suspende-se quando o contribuinte impugna o lançamento.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2026-09-10T23:18:34.754Z</dcterms:created>
  <dcterms:modified xsi:type="dcterms:W3CDTF">2026-09-10T23:18:34.754Z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