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VENDEDOR</w:t>
      </w:r>
    </w:p>
    <w:p/>
    <w:p>
      <w:r>
        <w:rPr>
          <w:b/>
          <w:bCs/>
        </w:rPr>
        <w:t xml:space="preserve">Julgado em: </w:t>
      </w:r>
      <w:r>
        <w:t xml:space="preserve">13/05/1980</w:t>
      </w:r>
    </w:p>
    <w:p/>
    <w:p>
      <w:r>
        <w:t xml:space="preserve">DANOS CONSEQÜENTES — INPS - AÇÃO PROCEDENTE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Sem dúvida que, em todas as operações há um risco inerente às próprias circunstâncias em que a operação é realizada, mas o certo é que aos autos nada veio a esclarecer que especiais circunstâncias seriam estas que pudessem justificar as conseqüências danosas advindas para a paciente, mormente quando revelam os autos as dificuldades em que se viu envolvida para conseguir assistência adequada. A prova no caso, de tais circunstâncias especiais cabia ao INPS. É de ver, outrossim, que a Constituição Federal consagrou o princípio da responsabilidade objetiva do Estado, conforme seu art. 107, pelo que tenho como realmente inafastável - tal como considerou a r. sentença - que cabe à autora a percepção de indenização decorrente dos prejuízos que a operação lhe trouxe, o que não é possível de agora fixar, já que o MM. Juiz deixou a apuração para a oportunidade da execução. Entretanto, não há que falar-se em indenização como parcela autônoma, se é certo que já incluiu o postulante, no seu pedido, lucros cessantes, pensão e despesas de tratamento. Outrossim, a pensão deverá ser apurada estritamente dentro de critérios objetivos da diminuição da capacidade laborativa da autora e em percentual estrito sobre a diminuição de tal capacidade. Outrossim, no referente as despesas de tratamento, esteve a postulante às custas do Instituto, pelo que não tendo havido prova de despesas outras efetuadas não poderão elas ser incluídas na condenação. - Pelo exposto, dou parcial provimento à apelação, para de logo excluir o item relativo à indenização e despesas de tratamento, mantida, no mais, a r. sentença. Julgado em 14-05-1980 Revista do Tribunal de Recursos. Janeiro, 1981 - Nº 69 - Pág. 20 EMFOR 400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Resultando dos autos que, em face do tratamento deficiente ministrado pelo INPS, decorreu prejuízo para a saúde da autora, cabe à autarquia a responsabilidade civil pelos danos causados.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2026-06-17T14:04:29.646Z</dcterms:created>
  <dcterms:modified xsi:type="dcterms:W3CDTF">2026-06-17T14:04:29.646Z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