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08/06/1981</w:t>
      </w:r>
    </w:p>
    <w:p/>
    <w:p>
      <w:r>
        <w:t xml:space="preserve">CÁLCULO — TERMO INICIAL - DATA DO AJUIZAMENTO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termo inicial da correção monetária a apelação merece ser provida, para estabelecer-se, entretanto, que ela começa a fluir do ajuizamento da ação, em face do disposto no art. 1º, § 2º, da Lei nº 6.899/81, que determina a aplicação da correção monetária aos débitos oriundos de decisão judicial. - Considera-se ser de aplicar-se a referida lei, que elimina as dúvidas que até então existiam a respeito do início daquela fluência, em face do art. 3º da mesma estipular sua utilização a todas as causas pendentes de julgamento, sendo que, na espécie a principal controvérsia, que ainda subsiste, diz justamente respeito ao instante em que deveria ter início o cálculo da correção monetária. - Assim, dá-se provimento parcial à apelação, a fim de que a correção monetária passe a fluir a partir do ajuizamento da ação. Julgado em 09-06-1981 Arquivo do Ementário Forense, TJ/989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vigência da Lei nº 6.899, de 08-04-1981, que determina a aplicação da correção monetária nos débitos oriundos da decisão judicial, o cálculo respectivo terá como termo inicial a data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2026-07-28T02:04:00.937Z</dcterms:created>
  <dcterms:modified xsi:type="dcterms:W3CDTF">2026-07-28T02:04:00.937Z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