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Recurso: </w:t>
      </w:r>
      <w:r>
        <w:t xml:space="preserve">apelação 11.495</w:t>
      </w:r>
    </w:p>
    <w:p>
      <w:r>
        <w:rPr>
          <w:b/>
          <w:bCs/>
        </w:rPr>
        <w:t xml:space="preserve">Julgado em: </w:t>
      </w:r>
      <w:r>
        <w:t xml:space="preserve">21/09/1981</w:t>
      </w:r>
    </w:p>
    <w:p/>
    <w:p>
      <w:r>
        <w:t xml:space="preserve">SIGNIFICADO DA EXPRESSÃO LEGAL "VALOR ORIGINÁRIO'' — SE DEVE COMPREENDER ACRÉSCIMOS DECORRENTES DA MORA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517 do Código de Processo c/ art. 303. - A remissão do art. 1º do Dec. 2.686/79, atinge cada crédito isoladamente, embora cobrados conjuntamente num mesmo executivo fiscal, pode ser originariamente pleiteada na segunda instância. - Para os efeitos de remissão, considera-se valor originário o que corresponde ao valor do crédito, expurgado das multas, juros moratórios e correção monetária. RECURSO DO ACÓRDÃO: - ... cumpre verificar a possibilidade de ser apreciada a invocação da remissão prevista do art. 1º do Dec. 2.686/79, nesta segunda instância, porque até à sentença o embargante manteve-se silencioso. - O art. 517 do Código de Processo, aproximou-se da diretriz seguida pela Ordenação Processual austríaca, de modo que, no juízo da apelação, em regra, se aprecia apenas o acerto da sentença proferida em primeira instância, estando vedado o reexame ilimitado da causa, O novo Código repetiu a fórmula já adotada no § 1º do art. 824 do Código de 1939. - Abrandando, porém, o princípio, o legislador admitiu fossem suscitadas na apelação as questões de fato que a parte não haja podido propô-las anteriormente por motivo de força maior. - Escapam ainda ao rigor do princípio as questões de fato sobre as quais poderia o juiz inferior apreciar de ofício, bem como, é óbvio, as de direito e as que, por expressa disposição legal, pudessem ser formuladas em qualquer tempo e juízo. É o que decorre do art. 303, que deve ser interpretado harmonicamente com o 517 (veja-se BARBOSA MOREIRA, Código, V, 3ª edição, pg. 510; MACHADO GUIMARÃES, "Limites Objetivos do Recursos de Apelação". pg. 68; BATISTA MARTINS, "Recursos e Processos da Competência Originária dos Tribunais", pg. 215). - De acordo com essas normas, é de admitir-se a invocação da remissão. - De fato, o art. 1º, § único, do Dec. 2.686/79 obriga o Procurador do Estado a requerer a extinção do crédito fiscal, se a ação d e cobrança já houver sido intentada e se o crédito for de valor originário inferior a Cr$ 1.000,00. - Se o procurador deixou de exercer seu dever legal, deve o Juiz, em qualquer grau de jurisdição, fazer cumprir a expressa determinação da lei. - Reconhecida a possibilidade da invocação, cumpre decidir se o total cobrado deve ser fracionado para que cada débito referido na folha do cálculo anexa à certidão de dívida seja apreciada isoladamente (...). - A resposta afirmativa se impõe, porque, se assim não fosse, poderia haver burla, amontoando o Fisco as infrações até que viessem a ultrapassar o teto estabelecido na norma. - O fundamento da remissão não se assenta apenas na onerosidade da cobrança, mas também nos demais casos especificados no art. 172 do Código Tributário Nacional e no art. 192 do Código Tributário estadual, com as modificações da lei estadual 372/80. - A jurisprudência vai se firmando neste sentido (duplo grau nº 448; apelação 11.495 desta. E Câmara). (*) - Fracionado o total, necessário se torna ainda decidir se a multa deve ser adicionada ao principal para o cálculo da obrigação originária a que se refere o art. 3º do Dec. 2.686. - Esse artigo, porém exclui expressamente da incidência os juros e multas moratórias, de modo que os vários créditos cobrados devem restringir-se ao principal, de acordo com a discriminação... do executivo em apenso. - A inicial do executivo esclarece que os débitos provém da infringência aos arts. 20, 21 e 30 da Lei 5/75 e aos arts. 17 e 52 do Dec. 25 do mesmo ano ou seja, não pagamento tempestivo do tributo. - A multa, assim, é de natureza moratória, devendo, por isso, ser excluída do cálculo. - Estabelecidas estas premissas, é de reconhecer que os vários créditos executados não atingem separadamente, o limite legal, salvo o de Cr$ 1.022,81, estando, por isso, abrangidos pela remissão. - O recurso, portanto, deve s er provido parcialmente para que a remissão não atinja apenas o único crédito de valor superior a Cr$ 1.000,00. Julgado em 22-09-1981 VOTO VENCIDO DO DESEMBARGADOR CLÁUDIO LIMA (vogal): - Coerente com o que, modestamente, tenho sustentado, não vejo na multa, pelo não pagamento do tributo, natureza moratória, mas penal-tributária. Assim, não a excluo do valor originário de que trata o art. 3º, do Decreto Estadual nº 2.686, de 30-08-1979, para efeito de remissão fiscal. Tanto que é inscrita na dívida e pode ser cobrada administrativamente, ao contrário das parcelas excluídas, ''decorrentes da cobrança judicial''. No caso, verifica-se ... do apenso, as somas do principal e multa, dos vário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2026-07-28T01:47:11.388Z</dcterms:created>
  <dcterms:modified xsi:type="dcterms:W3CDTF">2026-07-28T01:47:11.388Z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