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07/06/1979</w:t>
      </w:r>
    </w:p>
    <w:p/>
    <w:p>
      <w:r>
        <w:t xml:space="preserve">NOMEAÇÃO PELA FAZENDA — DEVER DE PAGAR HONORÁRIOS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dúvida de que na apuração de haveres (art. 993, parágrafo único, II, do Código de Processo Civil) pode a Fazenda indicar assistente técnico. Tem-se aí um procedimento administrativo havendo simples interessados, entre os quais se inclui a Fazenda que tem interesse apenas no imposto. Assim, o perito do Juízo cuida do interesse de todos. Se a Fazenda entende de indicar assistente de perito, deverá arcar com os seus honorários, salvo, é óbvio, se indicar integrante do seu quadro de servidores. Ao caso não tem aplicação os arts. 25 e 27 do Código de Processo Civil. O primeiro refere-se às despesas com as medidas dos interessados diretos, enquanto o segundo não diz respeito à jurisdição voluntária. - Desse modo preliminarmente, não conheço do recurso. Julgado em 08-06-1979 Revista Trimestral de Jurisprudência. Setembro, 1980 - Vol. 93 - Pág. 1.204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Razoável inteligência do art. 1.003, parágrafo único, do Código de Processo Civil. - No inventário de haveres, se a Fazenda Estadual indica assistente, deve arcar com os seus honorários.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2026-10-26T07:05:25.787Z</dcterms:created>
  <dcterms:modified xsi:type="dcterms:W3CDTF">2026-10-26T07:05:25.787Z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