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16/06/1980</w:t>
      </w:r>
    </w:p>
    <w:p/>
    <w:p>
      <w:r>
        <w:t xml:space="preserve">CURADOR AO VÍNCULO — RECURSO DA SENTENÇA QUE A DECRETA - FALTA - NOMEAÇÃO DE OUTRO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Concedo que haja sido suficiente e satisfatório o desempenho, em primeira instância, do Curador ao Vínculo nomeado pelo Juiz. Proferida que foi, a sentença, que anulou o casamento, nenhuma atuação teve mais no subsequente curso da ação, que evidentemente não havia terminado. - A rigor, como ensina BUZAID (Da Apelação "Ex Officio", 1951, pág. 51), deve o curador, na defesa efetiva da validade do matrimônio, recorrer da decisão declaratória da nulidade. Se não o faz, todavia, e se a sentença passa a ficar sujeita à revisão do Tribunal Superior por obra do recurso necessário ou como no sistema vigente, no duplo grau de jurisdição, é curial que o desdobramento da relação processual não pode prescindir da atuação do defensor do vínculo, agora nomeado em segunda instância. - Conheço do recurso e lhe dou provimento, nos termos do Parecer da Procuradoria-Geral da República. Julgado em 17-06-1980 Revista Trimestral de Jurisprudência. Novembro, 1980 - Vol. 94 - pág. 903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curador ao vínculo não recorre da sentença que proclama a anulação do casamento, deve outro ser nomeado para defender a validade do matrimônio, em segunda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2026-07-28T00:10:38.914Z</dcterms:created>
  <dcterms:modified xsi:type="dcterms:W3CDTF">2026-07-28T00:10:38.914Z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