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ATENTADO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Julgado em: </w:t>
      </w:r>
      <w:r>
        <w:t xml:space="preserve">05/12/1979</w:t>
      </w:r>
    </w:p>
    <w:p/>
    <w:p>
      <w:r>
        <w:t xml:space="preserve">UNIÃO COMO ASSISTENTE —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Acolho o parecer da douta Procuradoria-Geral da República, dando pela incompetência do Supremo Tribunal Federal, para, originariamente, processar e julgar a ação determinando regressem os autos do juízo federal de origem. - E assim o faço adotando como razões de decidir as do parecer transcrito, as quais evidenciam que a ação em questão não cabe na compreensão do art. 119, I, d, da Constituição, pois a intervenção da União, como mera assistente da autora, origina a competência da Justiça Federal, (juiz Federal, em 1º grau e TFR em 2º), nos termos do art. 125, I, e seu § 2º, da citada Carta. - É o meu voto. Julgado em 06-12-1979 Revista Trimestral de Jurisprudência. Fevereiro, 1981 - Vol. 95 - Pág. 485 EMFOR 397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simples circunstância de intervir a União como assistente da autora em ação movida contra o Estado, caracteriza, apenas, a competência da Justiça Federal, nos termos do art. 125, I, e seu § 2º, da Carta Maior.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2026-10-26T02:48:19.323Z</dcterms:created>
  <dcterms:modified xsi:type="dcterms:W3CDTF">2026-10-26T02:48:19.323Z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