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Julgado em: </w:t>
      </w:r>
      <w:r>
        <w:t xml:space="preserve">14/08/1978</w:t>
      </w:r>
    </w:p>
    <w:p/>
    <w:p>
      <w:r>
        <w:t xml:space="preserve">VALOR ATUAL DA PROPRIEDADE — QUANDO PREVALECE A AVALIAÇÃO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resgate de aforamento em que é senhorio o poder público. O recurso restringe-se à parte do acórdão recorrido que determinou incidisse o laudêmio sobre o valor constante da guia do imposto predial. - Sustenta a recorrente que tal entendimento nega vigência ao art. 693 do Código Civil, que dispõe: "Todos os aforamentos, inclusive os constituídos anteriormente a este Código, salvo acordo entre as partes, são resgatáveis dez anos depois de constituídos, mediante pagamento de um laudêmio, que será de dois por cento sobre o valor atual da propriedade plena, e de dez pensões anuais pelo obreiro, que não poderá no seu contrato renunciar ao direito de resgate, nem contrariar as disposições imperativas deste capítulo". - O fulcro, pois, do debate, encontra-se no conteúdo do art. 693 do Código Civil, no que se refere à expressão "valor atual da propriedade plena", que o Tribunal de Justiça do Estado do Rio de Janeiro sustenta confundir-se com aquele que consta da guia do imposto predial. - O Código Civil estabelece dever o laudêmio ser pago, tomando-se em consideração o valor atual do imóvel, mas não define o que seja este valor. - Todavia, a nosso ver não pode ser outro senão aquele que, na verdade, vale o imóvel no momento do resgate do aforamento. E este é, sem dúvida, o obtido através de avaliação. - O valor do lançamento destina-se unicamente a estabelecer a base para o imposto territorial urbano e predial. - Daí ter razão a recorrente, quando afirma que "à mingua de crédito legal de definição, ao valor atual somente se chegará através de um regula r processo de avaliação, confeccionado especificamente para esta finalidade" (...). - Não é possível equiparar o "valor atual" exigido pelo Código Civil com o estabelecido para o pagamento do imposto predial. Esta restrição vai de encontro ao fixado pelo artigo 693 do Código Civil. - Por estes motivos, conheço do recurso e lhe dou provimento, para que o preço do laudêmio seja calculado sobre o valor atual da propriedade, mediante avaliação. Julgado em 15-08-1978 Revista Trimestral de Jurisprudência, Janeiro, 1981 - Vol. 95 - Pág. 260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laudêmio deve ser calculado sobre o valor atual da propriedade, apurado em avaliação feita por ocasião do pedido de remissão. - No caso concreto não tendo o enfiteuta impugnado a avaliação administrativa já realizada, aceita-se esta como válida, tornando-se desnecessária avaliação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2026-10-26T02:46:07.726Z</dcterms:created>
  <dcterms:modified xsi:type="dcterms:W3CDTF">2026-10-26T02:46:07.726Z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