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Recurso: </w:t>
      </w:r>
      <w:r>
        <w:t xml:space="preserve">RE 87.763</w:t>
      </w:r>
    </w:p>
    <w:p>
      <w:r>
        <w:rPr>
          <w:b/>
          <w:bCs/>
        </w:rPr>
        <w:t xml:space="preserve">Julgado em: </w:t>
      </w:r>
      <w:r>
        <w:t xml:space="preserve">18/10/1979</w:t>
      </w:r>
    </w:p>
    <w:p/>
    <w:p>
      <w:r>
        <w:t xml:space="preserve">QUANDO NÃO PODE SER FEITA POR SIMPLES DECRETO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fundamental, em debate nos autos, diz respeito à interpretação do § 2º do art. 97 do Código Tributário Nacional, onde se estatui não constituir majoração de tributo, para os fins do disposto no inciso II, desse artigo, a atualização do valor monetário da respectiva base de cálculo. No acórdão recorrido se sustenta que o Prefeito Municipal não exorbitou dos limites legais ao ter, na revalorização dos imóveis, superado os índices de correção monetária. Nem há razões - acrescenta - para submeter-se o conceito da atualização, prevista no art. 97, § 2º, aos índices de correção monetária, mesmo porque as causas dos desajustes acaso existentes podem ser diversas e mais, ou menos, antigas. Essa hermenêutica está em desacordo, todavia, com a que vigora no Supremo Tribunal. Em julgamento recente, relator o eminente Ministro MOREIRA ALVES estabeleceu-se que "o § 2º do art. 97 do Código Tributário Nacional diz respeito, somente, à correção monetária do valor venal do imóvel (base de cálculo do imposto predial), não alcançando a reavaliação mesma (reavaliação econômica) desse valor venal". Assentou-se nessa decisão, tomada pelo Tribunal Pleno, que para "se atribuir outro vaiar venal ao imóvel, que não decorrente do anterior mais a correção monetária, mister lei, não bastando, para isso, simples decreto" (RE 87.763). - Como tenho também, essa interpretação como correta (não participei do citado julgamento), conheço do recurso e lhe dou provimento, para restabelecer a sentença, que concedeu a segurança. Julgado em 19-10-1979 Revista Trimestral de Jurisprudência. Outubro, 1980 - Vol. 94 - Pág. 246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se atribuir outro valor venal ao imóvel, que não o decorrente do anterior mais a correção monetária, é mister lei, não bastando para isso simples decreto (RE 87.763).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2026-10-26T04:59:47.341Z</dcterms:created>
  <dcterms:modified xsi:type="dcterms:W3CDTF">2026-10-26T04:59:47.341Z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