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87.763</w:t>
      </w:r>
    </w:p>
    <w:p>
      <w:r>
        <w:rPr>
          <w:b/>
          <w:bCs/>
        </w:rPr>
        <w:t xml:space="preserve">Julgado em: </w:t>
      </w:r>
      <w:r>
        <w:t xml:space="preserve">18/10/1979</w:t>
      </w:r>
    </w:p>
    <w:p/>
    <w:p>
      <w:r>
        <w:t xml:space="preserve">QUANDO NÃO PODE SER FEITA POR SIMPLES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fundamental, em debate nos autos, diz respeito à interpretação do § 2º do art. 97 do Código Tributário Nacional, onde se estatui não constituir majoração de tributo, para os fins do disposto no inciso II, desse artigo, a atualização do valor monetário da respectiva base de cálculo. No acórdão recorrido se sustenta que o Prefeito Municipal não exorbitou dos limites legais ao ter, na revalorização dos imóveis, superado os índices de correção monetária. Nem há razões - acrescenta - para submeter-se o conceito da atualização, prevista no art. 97, § 2º, aos índices de correção monetária, mesmo porque as causas dos desajustes acaso existentes podem ser diversas e mais, ou menos, antigas. Essa hermenêutica está em desacordo, todavia, com a que vigora no Supremo Tribunal. Em julgamento recente, relator o eminente Ministro MOREIRA ALVES estabeleceu-se que "o § 2º do art. 97 do Código Tributário Nacional diz respeito, somente, à correção monetária do valor venal do imóvel (base de cálculo do imposto predial), não alcançando a reavaliação mesma (reavaliação econômica) desse valor venal". Assentou-se nessa decisão, tomada pelo Tribunal Pleno, que para "se atribuir outro vaiar venal ao imóvel, que não decorrente do anterior mais a correção monetária, mister lei, não bastando, para isso, simples decreto" (RE 87.763). - Como tenho também, essa interpretação como correta (não participei do citado julgamento), conheço do recurso e lhe dou provimento, para restabelecer a sentença, que concedeu a segurança. Julgado em 19-10-1979 Revista Trimestral de Jurisprudência. Outubro, 1980 - Vol. 94 - Pág. 246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 atribuir outro valor venal ao imóvel, que não o decorrente do anterior mais a correção monetária, é mister lei, não bastando para isso simples decreto (RE 87.763).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2026-07-28T00:07:47.159Z</dcterms:created>
  <dcterms:modified xsi:type="dcterms:W3CDTF">2026-07-28T00:07:47.159Z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