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20/03/1980</w:t>
      </w:r>
    </w:p>
    <w:p/>
    <w:p>
      <w:r>
        <w:t xml:space="preserve">LEGISLAÇÃO LOCAL QUE AS DISTINGUE — ESTABELECIMENTO DE ALÍQUOTAS DIVERSAS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violação ao princípio da legalidade, - art. 97 do CTN, art. 150 § 1º e 29 da Constituição Federal e isto porque a autuação impugnada e a alíquota imposta se encontram perfeitamente definidas na lei preexistente (Lei nº 1.165, de 13-12-66) à autuação - por infrações abrangidas no período de 1º de janeiro de 1967 a 31 de julho de 1969. - O v. acórdão recorrido distinguiu: "Não merece reforma a sentença apelada que considerou não participarem relações públicas e pesquisa de mercado da mesma natureza dos serviços de propaganda e publicidade, cabendo à apelante pagar conforme os fatos geradores reais. Tal como as empresas que não se envolvem com atividades publicitárias mas fazem pesquisas de mercado, relações públicas e preparação de anúncios, deveria a apelante ser tratada, como foi, em situação de igualdade. A pesquisa de mercado e da opinião pública e a manipulação dos meios de informação constituem etapas diversas do processo amplo de comunicação, cuja fase final, no caso, possibilita a concretização da venda de propaganda ou publicidade, com a qual não se assemelham". - Assim decidindo, não descaracterizou a definição de lei federal do que seja empresa de publicidade, pois estas as caracterizam pelo estudo, concepção, execução e distribuição de propaganda aos veículos de divulgação - Lei nº 4.680, de 18-06-65. - Ora, o acórdão não negou essa definição, o que entendeu é que relações públicas e pesquisas técnicas de mercado, não se compreendem nas atividades especificas das empresas de publicidade, tanto que por outras, podem ser realizadas. - Assim decidindo, aplicou a alíquota de 5%, prevista em lei, sem preju ízo da alíquota de 0,5% que foi imposta, nos atos próprios de empresa de publicidade. - Não se argumente, com o precedente relativo a processamento de dados e programação, no campo eletrônico, que não pode se realizar sem a prévia programação dos dados. - Na publicidade não, esta pode ser feita sem relações públicas ou pesquisa de mercado. - Como bem observa o parecer da douta Procuradoria-Geral da República, a legislação posterior, local e federal, não veio a criar novas formas de incidência, mas apenas aclarar dúvidas dos contribuintes, que se insurgiram contra a aplicação das leis preexistentes, tal como nelas se preceituava. - Daí o acerto de sua conclusão: "Paralelamente aos serviços de propaganda e publicidade, a empresa prestou serviços de pesquisa de mercado e relações públicas, de forma que o desdobramento, para efeito de cálculo, de acordo com alíquotas fixadas na legislação local resulta da própria definição do fato gerador do ISS, que é a prestação de serviço e não a atividade principal da empresa. A distinção feita pela decisão recorrida entre as atividades em referência é, portanto, razoável (Súmula 400(*)). A alegação de ofensa ao princípio da legalidade, por seu turno, encontra o obstáculo da Súmula 280 (**), uma vez que a decisão recorrida entendeu que a legislação local, anterior ao período a que se refere a autuação, distinguira os serviços prestados pela recorrida, fixando alíquotas diversas". - Acrescento, que o dissídio jurisprudencial invocado, o foi sem o rigor da Súmula 291(***). - Não conheço, pois do recurso. Julgado em 21-03-1980 Revista Trimestral de Jurisprudência. Outubro, 1980 - Vol. 94 - Pág. 431 (*) "Decisão que deu razoável interpretação à lei, ainda que não seja, a melhor, não autoriza recurso extraordinário pela letra "a" do art. 101, III, da Constituição Federal", ("EMENTÁRIO FORENSE", N. 191, t. RECURSO EXTRAORDINÁRIO, st. OFENSA À LEI ...). (**) Por ofensa a direito local não cabe recurso extraordinário". ("EMENTÁRIO FORENSE", N. 195, t. RECURSO EXTRAORDINÁRIO, st. DIREITO LOCAL). (***)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configura a divergência, mencionadas as circunstâncias que identifiquem ou assemelhem os casos confrontados". ("EMENTÁRIO FORENSE", Nº 195, t. RECURSO EXTRAORDINÁRIO, st. DIVERGÊNCIA JURISPRUDENCIAL).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Legislação local que distingue os serviços de relações públicas e pesquisa de mercado dos de propaganda e publicidade, fixando alíquotas diversas para cada atividade, não ofende direito federal.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2026-10-26T04:59:24.593Z</dcterms:created>
  <dcterms:modified xsi:type="dcterms:W3CDTF">2026-10-26T04:59:24.593Z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