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Julgado em: </w:t>
      </w:r>
      <w:r>
        <w:t xml:space="preserve">29/05/1979</w:t>
      </w:r>
    </w:p>
    <w:p/>
    <w:p>
      <w:r>
        <w:t xml:space="preserve">TITULARIDADE ATIVA — QUANDO CABE AO PROCURADOR GERAL DO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preliminar, suscitada no pronunciamento da Procuradoria-Geral da Justiça, foi apreciada numerosas vezes por este plenário, no sentido de sua improcedência, inclusive por unanimidade de votos. - É o que se verifica dos acórdãos transcritos. - Decidiu-se pelos fundamentos aduzidos nesses julgados, em razão de inexistir conflitância com texto da Constituição Federal, competir à Procuradoria-Geral do Estado a legitimidade ativa à ação direta da inconstitucionalidade de lei, seja na órbita estadual ou municipal, como dispõe o parágrafo único do art. 51 da Constituição Estadual; outrossim, ser o Tribunal de Justiça competente ao conhecimento da representação, conforme o art. 54, I, "e", da mesma Carta. - A preliminar é, assim, rejeitada. Julgado em 30-05-1979 Revista dos Tribunais. Novembro, 1979 - Vol. 529 - Pág. 55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Procuradoria-Geral do Estado tem legitimidade ativa à ação direta de declaração de inconstitucionalidade de lei, na órbita estadual ou municipal.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2026-07-28T00:12:19.703Z</dcterms:created>
  <dcterms:modified xsi:type="dcterms:W3CDTF">2026-07-28T00:12:19.704Z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