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87.958</w:t>
      </w:r>
    </w:p>
    <w:p>
      <w:r>
        <w:rPr>
          <w:b/>
          <w:bCs/>
        </w:rPr>
        <w:t xml:space="preserve">Julgado em: </w:t>
      </w:r>
      <w:r>
        <w:t xml:space="preserve">07/08/1979</w:t>
      </w:r>
    </w:p>
    <w:p/>
    <w:p>
      <w:r>
        <w:t xml:space="preserve">IMÓVEL NÃO LOTEADO — VALOR CONTRA TERCEIROS - NECESSIDADE DO REGISTRO DE IMÓVEIS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Em, caso análogo ao presente, este Plenário, em 17-11-78, sendo relator o Sr. Ministro CORDEIRO GUERRA, conheceu dos embargos (ERE 87.958), que se fundavam no mesmo acórdão ora invocado e os recebeu por acórdão cuja ementa é a seguinte: "Promessa de compra e venda de imóvel, sem a formalidade essencial da inscrição no Registro Público, não se torna oponível a terceiros. O registro é que lhe atribui a eficácia "erga omnes". II - Válida é a penhora do bem prometido, por dívida do promitente vendedor, quando não registrada preexistente promessa de venda por ele pactuada. III - Descabimento de embargos de terceiro por parte do comprador, ainda que imitido na posse de imóvel prometido, para efeito de anular a penhora. Embargos de divergência conhecidos e recebidos com base nesse precedente, para o qual concorri com meu voto, conheço dos presentes embargos, e os recebo para restabelecer o acórdão, prolatado pelo 3° Grupo de Câmaras Cíveis do Tribunal de Alçada do Estado do Rio de Janeiro. Julgado em 08-08-1979 VOTO VENCIDO DO MINISTRO SOARES MUÑOZ: - ... no precedente que foi lembrado no voto do eminente Ministro Relator, pronunciei-me no sentido da possibilidade de os embargos de terceiro protegerem, a posse "in verbis": "Não há dúvida de que o voto do eminente Ministro MOREIRA ALVES é de evidente relevância. Mas insisto, "data venia", no meu ponto de vista, entendendo que a posse do promitente comprador não é em nome de outrem; é em nome próprio, desde que o proprietário lhe tenha transmitido em razão do contrato. A posse, nos termos do art. 493, III, do Código Civil, se tr ansmite por qualquer dos meios de aquisição em geral. O promitente vendedor pode acrescer à obrigação de outorgar a escritura definitiva a de imitir, desde logo, o promitente comprador na posse do imóvel. Foi o que ocorreu na espécie "sub-judice". Celebrado o contrato de promessa de compra e venda através de escritura pública, o promitente comprador passou a residir no apartamento, como se proprietário fosse, Não necessitava inscrever no Registro de Imóveis a avença para obter a imissão na posse, porque já se acha nela, há muitos anos. De outro lado, a situação de visibilidade da propriedade resultante dessa posse confere ao compromissário legitimidade "ad causam" para propor embargos de terceiro possuidor (Ag. Instr. 28.756, RREE 19.642, 62.198, 71.162). A pretensão a embargar, por parte do possuidor, salienta PONTES DE MIRANDA, dá a quem quer que tenha posse indireta, ou direta, a legitimação ativa (Comentários ao Código de Processo Civil de 1939, Tomo IX, pág. 52). Mantenho o voto, rejeitando os embargos" (ERE 87.958). - Ante o exposto, conheço dos embargos de divergência e rejeito-os. Revista Trimestral de Jurisprudência, Janeiro, 1981 - Vol. 95 - Pág. 282 EMFOR 397 EMENTA: - Em intimação feita na sexta-feira, mediante publicação em jornal oficial que circula no mesmo dia, a segunda-feira subsequente, e não a terça-feira, - salvo se aquela não for dia útil, - é o primeiro dia de prazo contado. (Ementa modificada pelo EMENTÁRIO FORENSE) RESUMO DO ACÓRDÃO: - ... trata-se de intimação (....) feita numa sexta-feira, pois o jornal circulou no mesmo dia que trouxe estampado. Excluído o sábado e o domingo, por não serem dias úteis, o prazo começou a correr na segunda-feira subsequente, inclusive. - Quer o agravante que o primeiro dia de prazo contado seja a terça-feira, e não a segunda feira. Mas não tem razão, embora possa haver decisões que liberalmente hajam perfilhado tal entendimento. Isso importaria - o que não tem sentido - em ficarem rigorosamente igualadas as hipóteses de intimação feita na sexta-feira e as de intimação feita na segunda-feira. - Nego provimento ao agravo regimental. Julgado em 09-09-1980 (*) "Quando a intimação tiver lugar na sexta-feira, ou a publicação com efeito de intimação for feita nesse dia, o prazo judicial terá início na segunda-feira imediata, salvo se não houver expediente, caso em que começará no primeiro dia útil que se seguir". ("EMENTÁRIO FORENSE", Nº 195).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promessa de compra e venda de imóvel não loteado só se torna oponível "erga omnes" com sua inscrição no Registro de Imóveis. Não pode ser desconstituída penhora de imóvel objeto de promessa de compra e venda, se esta, ainda que celebrada anteriormente à penhora, não estiver inscrita.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2026-10-26T04:19:16.574Z</dcterms:created>
  <dcterms:modified xsi:type="dcterms:W3CDTF">2026-10-26T04:19:16.574Z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