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>
      <w:r>
        <w:rPr>
          <w:b/>
          <w:bCs/>
        </w:rPr>
        <w:t xml:space="preserve">Julgado em: </w:t>
      </w:r>
      <w:r>
        <w:t xml:space="preserve">20/11/1980</w:t>
      </w:r>
    </w:p>
    <w:p/>
    <w:p>
      <w:r>
        <w:t xml:space="preserve">PESSOAS JURÍDICAS DE DIREITO PÚBLICO INTERNO — LITÍGIO ENTRE ELAS - DECISÃO PELA AUTORIDADE ADMINISTRATIVA - SE ABRANGE O OCORRENTE ENTRE ESTADO E MUNICÍPIO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205 da Constituição seria, em qualquer hipótese, inaplicável ao caso, eis que não se trata de litígio entre o Estado ou entre o Município e uma de suas "respectivas autarquias, empresas públicas e sociedades de economia mista ou entre umas e outras". - Outra fosse a hipótese - isto é, uma daquelas contempladas na disposição constitucional - ainda assim dependeria a aplicação do preceito de prévia regulamentação, a definir a autoridade administrativa competente. É o que têm afirmado posteriores decisões desta Corte. - Não há contrariedade à Constituição nem dissídio jurisprudencial, em relação ao acórdão trazido à colação, que dizia respeito a litígio entre a União e uma de suas sociedades de economia mista. - Não conheço do recurso. Julgado em 21-11-1980 Revista Trimestral de Jurisprudência. Maio , 1981 - Vol. 96 - Pág. 865 EMFOR 398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abrangido pela regra do art. 205 da Constituição litígio entre Estado e Município, que somente abrange as entidades dentro da mesma esfera da Administração e, mesmo nesta parte, depende de lei que declare a autoridade competente para a decisão.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2026-10-26T05:40:38.070Z</dcterms:created>
  <dcterms:modified xsi:type="dcterms:W3CDTF">2026-10-26T05:40:38.070Z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