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22/04/1980</w:t>
      </w:r>
    </w:p>
    <w:p/>
    <w:p>
      <w:r>
        <w:t xml:space="preserve">FAIXA LATERAL DE RODOVIA — ÁREA "NON AEDIFICANDI"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já ficou aclarado, cinge-se a irresignação última, à letra "a" do permissivo constitucional. - Sustenta ela que, havendo o acórdão concedido indenização pela faixa "non aedificandi", denegou vigência ao art. 572 do Código Civil. - Sucede que a argüição de inaplicação do preceito em questão jamais foi suscitada em toda a longa tramitação da demanda. - Dela, pois, não cuidaram os decisórios, os quais solveram a controvérsia aplicando o princípio constitucional da justa indenização a que se refere o art. 153, § 22 da Constituição, este sim, esteio dos julgados em cotejo com a situação real emergente da desapropriação. - Daí as expressões da sentença, no pertinente,...: "A área "non aedificandi" tem de ser totalmente indenizada, por isso que é inteiramente inaproveitável para os autores: trata-se de área marginal da estrada, em cuja superfície não somente podem construir, mas tampouco plantar, ou manter animais, ...". - E confirmando-a na via do apelo, acentuou o acórdão,...: "Quanto à indenização para a área "non aedificandi", por igual, improcede a segunda preliminar nesse sentido argüida. Se a construção da estrada implicou no assentamento de recuo obrigatório (...) às sua margens, impedindo o desfrute pelo proprietário, equivale a um tipo de restrição duradoura ao direito de propriedade, portanto, indenizável, pois deu-se desfalque patrimonial constitucionalmente protegível." - É possível que os julgados também considerem tais restrições do domínio dos desapropriados como servidão administrativa. Elas, em verdade, o são segundo a legislação federal ou estadual, pois esta é a opinião dos dou tos HELY LOPES MEIRELES ( Direito de Construir, 3ª ed., 1979, págs. 143/4), LUIZ AUGUSTO SEABRA DA COSTA (R.T., 494, 252/4) os quais justificam a indenização. - Mas o certo é que não foram elas consideradas perante o art. 572, "in fine", do Código Civil. - Antes, repita-se, inspiram-se apenas no princípio constitucional da justa indenização a que se refere a Carta Maior em seu art. 153, § 22. - Em conclusão, não versadas pois nos decisórios impugnados as questões federais que se procura reabrir, apenas, na via do extraordinário, manifesto é que tal pretensão não poderia prosperar como já foi dito. - ............................................ - É o meu voto. Julgado em 23-04-1980 Revista Trimestral de Jurisprudência. Maio, 1981 - Vol. 96 - Pág. 772 EMFOR 398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Pelas faixas laterais "non aedificandi" de rodovia estadual, imposta pelo Poder Público, que se tornam insuscetíveis de aproveitamento industrial ou residencial, é justo receba o proprietário a respectiva indenização.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2026-10-26T04:39:22.623Z</dcterms:created>
  <dcterms:modified xsi:type="dcterms:W3CDTF">2026-10-26T04:39:22.623Z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