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25/06/1980</w:t>
      </w:r>
    </w:p>
    <w:p/>
    <w:p>
      <w:r>
        <w:t xml:space="preserve">PRAZO DETERMINADO — FALTA DE CLÁUSULA DE VIGÊNCIA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despejo, movida pelo novo adquirente. - A sentença..., firmada na regra do art. 1.197 do Código Civil, acolheu a pretensão inicial; mas inconformada, apela a inquilina, insistindo em suas relações sobre o respeito devido pelo novo adquirente ao vínculo locativo, porque a ele extensiva a cláusula contratual referente aos herdeiros e sucessores das partes e vigorante a locação por prazo determinado, e regendo-a a atual Lei do Inquilinato. - Com razão em parte o apelo, o que, porém, não importa em seu provimento. - Em verdade, proposta a ação em novembro do ano transato, a ela incumbe aplicar-se a atual Lei do Inquilinato, que submeteu ao império de seu regime todas as locações e prédios urbanos, excluídas as referentes a imóvel de propriedade do União, o que induvidosamente se deve assentar ante as disposições de seus arts. 1º e 4º. - Todavia, o art. 14 dessa Lei nº 6.649/79, reproduz a regra do art. 1.197 do Código Civil, legitimando-se, pois, o exercício da ação de despejo pelo Apelado, que o novo adquirente não está obrigado a respeitar o contrato de locação existente, porque esta é a faculdade que lhe concede a lei, contra a qual não podem valer disposições daquele pacto locativo, em não havendo nesta cláusula expressa em contrário e constante do Registro de Imóveis. - Confirma-se, pois, a sentença. Julgado em 26-06-1980 Arquivo do Ementário Forense, TA/359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 da atual Lei do Inquilinato (6.649/79). - A venda rompe a locação, desde que o contrato relativo a locação por prazo determinado não contenha cláusula de vigência em caso de alienação e conste do Registro de Imóveis.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2026-09-10T23:20:19.825Z</dcterms:created>
  <dcterms:modified xsi:type="dcterms:W3CDTF">2026-09-10T23:20:19.825Z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