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ESTÉTICO</w:t>
      </w:r>
    </w:p>
    <w:p/>
    <w:p>
      <w:r>
        <w:rPr>
          <w:b/>
          <w:bCs/>
        </w:rPr>
        <w:t xml:space="preserve">Recurso: </w:t>
      </w:r>
      <w:r>
        <w:t xml:space="preserve">Apelação Cível 00784/00</w:t>
      </w:r>
    </w:p>
    <w:p/>
    <w:p>
      <w:r>
        <w:t xml:space="preserve">RESPONSABILIDADE CIVIL — ACIDENTE FERROVIÁRIO - ATROPELAMENTO - SEQÜELAS PERMANENTES - RESPONSABILIDADE OBJETIVA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Acidente de trem. Atropelamento com seqüelas permanentes. Passagem clandestina. Art. 37, § 6º, da CF. Mãe que atravessa a via férrea com filho de tenra idade, por passagem clandestina, à noite, em local perigoso, porque imediatamente após curva fechada, sendo colhidos por composição. Seqüelas permanentes na mãe e meramente temporárias na criança. Fato exclusivo da vítima em desafiar a situação de risco e fato exclusivo de terceira em conduzir a criança naquela situação. Irresponsabilidade da ferrovia, ante aquelas situações. CF, art. 37, § 6º. Sentença de procedência. Provimento do recurso da ferrovia para julgamento de improcedência dos pedidos, isentos os autores da sucumbência por litigarem sob gratuidade. Prejudicado o recurso destes. Voto vencido. Vistos, relatados e discutidos estes autos de Apelação Cível nº 00784/00, da 5ª. Vara da Fazenda Pública, da Capital, em que são Apelantes e reciprocamente Apelados FLUMITRENS - Companhia Fluminense de Trens S/A, Cláudia da Conceição Ferreira dos Santos e Ricardo Ferreira dos Santos. Acordam os Desembargadores que compõem a Terceira Câmara Cível, do Tribunal de Justiça do Estado do Rio de Janeiro, em prover o primeiro recurso, para julgamento de improcedência dos pedidos, isentos os autores da sucumbência, em razão da gratuidade. E considerar prejudicado o segundo. Decisão por maioria, vencido o e. 2º vogal, Des. LUIZ FELIPE HADDAD, que improvia ambos recursos, nos termos de seu voto em separado. Mãe e filho menor foram atropelados por composição da ré quando atravessavam a linha férrea, na altura de Tomás Coelho, local desprovido de passarela ou sinal. A ação é de procedimento sumário em que perseguem ampla reparação material e moral, forte na tese da culpa da ré, ao não impedir ou vedar o acesso de pedestres à ferrovia por uma passagem aberta no muro, centran do-se a defesa de forma principal, de que o ônus da prova cabe a quem alega e de modo subsidiário, nas verbas queridas. O desate se deu pela sentença de fls. 115/7, do juízo da 5ª Vara da Fazenda Pública, da Capital, de parcial procedência dos pedidos. Fixou em 20 (vinte) salários mínimos a reparação moral ao menor, a quem resultou seqüelas, e em 200 (duzentos) salários mínimos para a mulher, metade para cada rubrica moral e estética em face do aleijão. De reparação material, fixou pensão mensal vitalícia de 01 (um) salário mínimo, com inscrição em folha de pagamento, além de próteses e outras verbas indicadas pela perícia, para pagamento de acompanhante, cama especial e etc. Sucumbência de 10%(dez por cento) do global vencido e vincendo. O apelo da empresa ferroviária, tempestivo e corretamente preparado, persegue a reversão forte na tese de culpa exclusiva das vítimas, que atravessavam por passagem clandestina, por desleixo e preguiça de caminharem até a passarela próxima. De forma subsidiária, persegue a redução da reparação moral global a 20 (vinte) salários mínimos, a redução da prestação mensal a 1/3 (um terço) do salário mínimo e o rateio da sucumbência ou sua redução, no que toca às parcelas vincendas, a 12 (doze) prestações. O apelo, tempestivo e sob a gratuidade, dos demandantes, persegue a majoração das verbas de dano moral da mulher a 800 (oitocentos) salários mínimos, a fixação de verba de indenização pela perda de divertimento, ao pagamento de dois meses, com base em um salário mínimo mensal pelo tempo em que o menor permaneceu incapacitado, a incidência de juros de mora ao dia do evento e a modificação da forma de pagamento para constituição de capital garantia. Os recursos foram respondidos, opinando a d. Procuradoria da Justiça pelo improvimento do primeiro e provimento parcial do segundo recurso. A testemunha de fls. 80, amiga da família dos autores, não viu o acidente, mas descreveu o quadro de extrema perigosidade que é o tráfego de pedestres por aquela passagem clandestina aberta por quebra do muro de proteção da ferrovia. Afirmou que o local em que se deu o acidente é precedido de uma curva e que a mãe, que nasceu ali, sabia e conhecia o perigo, porque o trem só é visto quando inicia essa curva. Esclareceu mais que as composições ali apitam e trafegam com os faróis acesos, mas que isso só é visto e ouvido no início da curva. Existe uma passarela a trezentos metros, mas a mãe, por comodidade, deixou de usá-la, preferindo atravessar o local à noite e em condições totalmente desfavoráveis, principalmente para quem conhecia o local. Se assim é, foi a própria vít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2026-07-27T23:18:48.393Z</dcterms:created>
  <dcterms:modified xsi:type="dcterms:W3CDTF">2026-07-27T23:18:48.394Z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