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RESPONSABILIDADE CIVIL</w:t>
      </w:r>
    </w:p>
    <w:p/>
    <w:p>
      <w:r>
        <w:rPr>
          <w:b/>
          <w:bCs/>
        </w:rPr>
        <w:t xml:space="preserve">Recurso: </w:t>
      </w:r>
      <w:r>
        <w:t xml:space="preserve">Apelação 16.447/00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 DE AGUIAR</w:t>
      </w:r>
    </w:p>
    <w:p/>
    <w:p>
      <w:r>
        <w:t xml:space="preserve">ALIENAÇÃO FIDUCIÁRIA — DEPÓSITO - PRISÃO CIVIL - PRECEDENTES DO S.T.J. -
ILEGITIMIDADE DA PRISÃO CIVIL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depósito - Busca e apreensão - Automóvel - Alienação fiduciária - Sentença de procedência - Impossibilidade de prisão do devedor. Vasta é a jurisprudência que, em caso de inadimplemento de contrato garantido por alienação fiduciária de bem móvel, inadmite a prisão do devedor, entendendo não ter sido o Decreto-Lei 911/69, neste particular, recepcionado pela Constituição da República de 1988. Diferença entre contrato de depósito (arts. 1.265 a 1.287 do Código Civil) e a lei específica (D.L. 911/69). Precedentes do STJ. Desprovimento do apelo interposto. Ref. Leg: art. 1°, DL 911/69; arts. 1.265 a 1.287, CC; art. 5°, LXVII, CR 88. Vistos, examinados e relatados estes autos da Apelação n° 16.447/00, em que é Apelante Banco ABN Amro S.A. e Apelada Adriana Cabral Rosa. Acordam os Desembargadores que integram a 12ª Câmara Cível do Tribunal de Justiça do Estado do Rio de Janeiro, por unanimidade de votos, em negar provimento à apelação, nos termos do voto do Des. Relator. Cuida-se de ação de depósito, em que foi convolada a busca e apreensão aforada por Banco ABN Amro S.A. contra Adriana Cabral Rosa, tendo por objeto o automóvel, marca GM, modelo Monza SL, ano 1991, preto, placa GMC-5685, descrito na inicial, tendo em vista o inadimplemento do contato de alienação fiduciária celebrado entre autor e ré. A sentença julgou procedente o pedido inicial, condenando a devedora a devolver o bem, ou seu equivalente em dinheiro. Custas e honorários advocatícios em 10%, pela ré. Insatisfeita, apela a casa bancária, aduzindo nas razões de f. 138/142, que a sentença deixou de incluir na decisão o disposto no parágrafo único do artigo 904 do Código de Processo Civil, prisão do depositário infiel, pleiteando sua inclusão na sentença, pela via recursal. Não há contrariedade (certidão - f. 145). É o relatório. Voto Cinge-se o recurso à questão da possibilidade de prisão civil, no bojo de ação de depó sito em que se convolou a busca e apreensão de automóvel, objeto de alienação fiduciária em garantia pactuada entre as partes. ­ Muito embora o Decreto-lei 911/69 esteja em vigor, e regule especificamente a matéria, entendo que, no tocante à prisão relativa a não devolução do bem ou de seu equivalente em dinheiro, tal norma não foi recepcionada pela Carta Federal de 1988. É que a Constituição da República, em seu artigo 5°, inciso LXVII, tratando dos direitos e garantias individuais, admite, de forma excepcional, a prisão, tão somente nos casos de dívida de alimentos, e infiel depositário, não ensejando, por ser norma excepcional, interpretação extensiva. Ocorre que, in casu, filio-me à corrente que entende haver nítida diferença entre o contrato típico de depósito, regulado pelo Código Civil (artigos 1.265 e seguintes), e o depósito de que trata o artigo 1° do Decreto-Lei 911/69, consoante farta jurisprudência do Superior Tribunal de Justiça: "Processo Civil. Alienação fiduciária. Conversão de busca e apreensão e ação de depósito. Nota promissória referente ao mesmo débito. Ausência de interesse processual. Prisão civil. Descabimento. Precedentes. Recurso desprovido. I - Em razão da dicotomia dos recursos excepcionais dirigidos ao Supremo Tribunal Federal e ao Superior Tribunal de Justiça, adotada pela Constituição de 1988, torna-se defeso a esta Corte, no âmbito do recurso especial, examinar eventual violação de dispositivo constitucional, missão reservada ao guardião da Lei Maior. II - Nos termos do enunciado n° 28 da súmula/STJ, 'o contrato de alienação fiduciária em garantia pode ter por objeto bem que já integrava o patrimônio do devedor'. Todavia, em tal hipótese, não se admite a cominação de prisão do devedor, por importar ampliação dos casos admitidos em nossa ordem jurídica. III - Esta Corte firmou entendimento, a partir do julgamento dos EREsp 149.518-GO, em 5/5/99, pela Corte Especial, de que descabe prisão civil em alienação fiduc iária, por não se tratar de depósito típico. IV - Sendo incabível a cominação de prisão na espécie, uma vez que o bem alienado já pertencia ao patrimônio do devedor, quando da celebração do contrato, e possuindo o credor nota promissória exeqüível referente à mesma dívida, falta-lhe interesse processual em converter a busca e apreensão frustrada em ação de depósito. A ação de depósito, nesse contexto, perde eficácia, não remanesce interesse processual ao banco recorrente, em face da ausência do binômio necessidade-utilidade do provimento judicial". (RESP 218.213/MS - DJ 29/11/1999 Rel. Min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2026-10-26T04:41:17.378Z</dcterms:created>
  <dcterms:modified xsi:type="dcterms:W3CDTF">2026-10-26T04:41:17.378Z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