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Agravo de Instrumento 2.626/2000</w:t>
      </w:r>
    </w:p>
    <w:p/>
    <w:p>
      <w:r>
        <w:t xml:space="preserve">SEPARAÇÃO JUDICIAL — BUSCA E APREENSÃO DE MENOR - SEPARAÇÃO DE FATO - FILHO MENOR SOB A GUARDA DO PAI - MANUTENÇÃO DA GUARDA PROVISÓRIA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Ocorrendo a separação de fato do casal, deve ser mantida a situação de fato, permanecendo o filho menor com o progenitor com o qual foi deixado, até a decisão final. Recurso conhecido, mas improvido. Vistos, relatados e discutidos estes autos de Agravo de Instrumento nº 2.626/2000, em que é Agravante Maria de Fátima Silva Bezerra e Agravado Antônio Gonçalves Bezerra. Acordam os Desembargadores da Décima Quarta Câmara Cível do Tribunal de Justiça do Estado do Rio de Janeiro, por unanimidade de votos, em conhecer e negar provimento ao presente agravo de instrumento. E assim decidem, porque a decisão recorrida, que, nos autos de separação judicial, deferiu a guarda das filhas menores ao cônjuge varão, o ora agravado, deu correta solução à controvérsia, merecendo, por isso, ser confirmada. Como razões de decidir, adotam-se as articuladas no parecer do ilustre Procurador de Justiça, Dr. CARLOS DOMINGUES DA VENDA, que analisou a questão com rara percuciência, circunstância que recomenda sejam as mesmas subscritas. Rio de Janeiro, 23 de maio de 2000 Des. Marlan de Moraes Marinho - Presidente e Relator Parecer Cuida-se de agravo de instrumento, com pedido de efeito suspensivo e com requerimento de concessão dos benefícios da gratuidade de justiça, interposto por Maria de Fátima Silva Bezerra, inconformada com a respeitável decisão judicial proferida pela ilustre Doutora GISELI DE LIMA E SILVA ROSSI eminente Juíza de Direito no processo nº 99.001.169612-7, do Juízo de Direito da 16ª Vara de Família da Capital, atinente à ação de separação judicial litigiosa c/c guarda de filhas, proposta por Antônio Gonçalves Bezerra Filho, aqui agravado contra a ora agravante, por intermédio da qual a Magistrada da causa deferiu a favor do último, a guarda provisória das filhas do casal, Jessica Juliana Silva Bezerra e Brenda Kelly Silva Bezerra, além de deferir, também, a busca e apreensão de Brenda e de suspender as visitas d a mãe às meninas. Nas suas razões recursais (fls.02/07), acompanhadas das peças de fls.08/24vº, entre estas cópia da respeitável decisão (fls. 20/21), a agravante está sustentando, em resumo que: a) além de injusta, a indigitada decisão atacada é nula de pleno direito por deixar de observar os preceitos constitucionais do contraditório e da ampla defesa; b) houve afronta ao que estabelece os artigos 801 e seguintes, o artigo 839 e o artigo 888, todos do Código de Processo Civil, eis que há procedimento próprio que deve ser observado para a busca e apreensão de menor, qual seja, a medida cautelar, não se podendo concordar com o seu deferimento no bojo de uma ação de separação judicial; e c) sem qualquer fundamentação, a parte da respeitável decisão guerreada que a proíbe de estar em companhia das filhas. Ao final das suas razões recursais a agravante espera seja dado provimento ao recurso, a fim de anular a respeitável decisão e, por conseguinte, deferir para si a guarda da sua filha Brenda e, no caso de não se anular a dita decisão, espera seja estabelecido o regime de visitação das suas filhas. O nobre Desembargador Relator deferiu a gratuidade de justiça, conforme consta do douto comando fls. 26/26v, ao tempo em que determinou a vinda das informações judiciais, ficando de apreciar com elas o pedido de suspensividade, e ordenou a intimação da parte agravada expedindo-se, em seguida, o ofício nº 242/00, de 13.03.2.000 (cópia às fls. 27). A preclara Doutora EDUARDA MONTEIRO DE CASTRO SOUZA CAMPOS, eminente Juíza de Direito, em resposta ao ofício do eminente Desembargador relator (fls. 27), encaminhou o expediente de fls. 29/30 (ofício nº 13/00, de 17/03/2.000), acompanhado das peças de fls. 31/36, prestando as informações que entendeu pertinentes à hipótese, ressaltando que a decisão que determinou a guarda provisória foi fundamentada em depoimentos de testemunhas, conforme cópias que remeteu, além de ter esclarecido que a agravante cumpriu o disposto no artigo 526, do Código de Processo Civil, e de que manteve a decisão judicial pelos seus fundamentos. O agravado apresentou, por seu turno, as contra-razões recursais de fls. 39/43, capeadas pela petição de fls. 38, nas quais está procurando, no global, rebater os argumentos da agravante e está buscando, no principal, prestigiar a respeitável decisão judicial impugnada pela ré da ação principal. Em princípio, cabe examinar se o recurso é ou não é tempestivo. A respeitável decisão agravada foi proferida no dia 27.01.2000 quando da realização da audiência especia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2026-10-26T03:27:28.935Z</dcterms:created>
  <dcterms:modified xsi:type="dcterms:W3CDTF">2026-10-26T03:27:28.935Z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