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Tribunal: </w:t>
      </w:r>
      <w:r>
        <w:t xml:space="preserve">STF</w:t>
      </w:r>
    </w:p>
    <w:p/>
    <w:p>
      <w:r>
        <w:t xml:space="preserve">038. LIVRO I — Do Processo de Conhecimento
      TÍTULO IX - Do Processo nos Tribunais
      Capítulo IV - Da Ação Rescisória</w:t>
      </w:r>
    </w:p>
    <w:p/>
    <w:p>
      <w:pPr>
        <w:pStyle w:val="Heading2"/>
      </w:pPr>
      <w:r>
        <w:rPr>
          <w:b/>
          <w:bCs/>
        </w:rPr>
        <w:t xml:space="preserve">Ementa</w:t>
      </w:r>
    </w:p>
    <w:p>
      <w:r>
        <w:t xml:space="preserve">CAPÍTULO IV DA AÇÃO RESCISÓRIA Art. 485. A sentença de mérito, transitada em julgado, pode ser rescindida quando: I - se verificar que foi dada por prevaricação, concussão ou corrupção do juiz; (v. CP, arts. 316, 317, 319 e 333) II - proferida por juiz impedido ou absolutamente incompetente; (v. CPC, arts. 111, 113, 134, 136 e 137) III - resultar de dolo da parte vencedora em detrimento da parte vencida, ou de colusão entre as partes, a fim de fraudar a lei; (v. CPC, art. 487, III, "b"; CCB, arts. 92 a 94 e 96/97) IV - ofender a coisa julgada; (v. CPC, arts. 467 a 472 e 474) V - violar literal disposição de lei; (v. Súmula 343 do STF; Súmula 134 do TFR) VI - se fundar em prova, cuja falsidade tenha sido apurada em processo criminal ou seja aprovada na própria ação rescisória; VII - depois da sentença, o autor obtiver documento novo, cuja existência ignorava, ou de que não pôde fazer uso, capaz, por si só, de lhe assegurar pronunciamento favorável; (v. CPC, arts. 269, III, 352, II e parágrafo único, e 449; CCB, arts. 1.025 e 1.036) VIII - houver fundamento para invalidar confissão, desistência ou transação, em que se baseou a sentença; IX - fundada em erro de fato, resultante de atos ou de documentos da causa. § 1º. Há erro, quando a sentença admitir um fato inexistente, ou quando considerar inexistente um fato efetivamente ocorrido. § 2º. É indispensável, num como noutro caso, que não tenha havido controvérsia, nem pronunciamento judicial sobre o fato. (Ver MP - 1.798-1 de 12-02-1999) Art. 486. Os atos judiciais, que não dependem de sentença, ou em que esta for meramente homologatória, podem ser rescindidos, como os atos jurídicos em geral, nos termos da lei civil. (v. CPC, arts. 214, 352, I, 585, § 1º e 1.029/1.030; CCB, arts. 145 a 147 e 178, § 9º, V) Art. 487. Tem legitimidade para propor ação: I - quem foi parte no processo ou o seu sucessor a título universal ou singular; II - o terceiro juridicamente interessado; III - o Ministério Público: a) se não foi ouvido no processo, em que lhe era obrigatória a intervenção; b) quando a sentença é o efeito de colusão das partes, a fim de fraudar a lei. (v. CPC, art. 82) Art. 488. A petição inicial será elaborada com observância dos requisitos essenciais do art. 282, devendo o autor: I - cumular ao pedido de rescisão, se for o caso, o de novo julgamento da causa; II - depositar a importância de 5% (cinco por cento) sobre o valor da causa, a título de multa, caso a ação seja, por unanimidade de votos, declarada inadmissível, ou improcedente. Parágrafo único. Não se aplica o disposto no nº II à União, ao Estado, ao Município e ao Ministério Público. Art. 489. O ajuizamento da ação rescisória não impede o cumprimento da sentença ou acórdão rescindendo, ressalvada a concessão, caso imprescindíveis e sob os pressupostos previstos em lei, de medidas de natureza cautelar ou antecipatória de tutela.(Redação dada pela Lei 11.280 de 16-02-2006) Redação anterior: "Art. 489. A ação rescisória não suspende a execução da sentença rescindenda." Art. 490. Será indeferida a petição inicial: I - nos casos previstos no art. 295; II - quando não efetuado o depósito, exigido pelo art. 488, II. Art. 491. O relator mandará citar o réu, assinando-lhe prazo nunca inferior a 15 (quinze) dias nem superior a 30 (trinta) para responder aos termos da ação. Findo o prazo com ou sem resposta, observar-se-á no que couber o disposto no Livro I, Título VIII, Capítulo IV e V. Art. 492. Se os fatos alegados pelas partes dependerem de prova, o relator delegará a competência ao juiz de direito da comarca onde deva ser produzida, fixando prazo de 45 (quarenta e cinco) a 90 (noventa) dias para a devolução dos autos. Art. 493. Concluída a instrução, será aberta vista, sucessivamente, ao autor e ao réu, pelo prazo de 10 (dez) dias, para razões finais. Em s eguida, os autos subirão ao relator, procedendo-se ao julgamento: I - no Supremo Tribunal Federal e no Superior Tribunal de Justiça, na forma dos seus regimentos internos; (Redação dada pela Lei 11.382 de 06-12-2006) Redação anterior: "I - no Supremo Tribunal Federal e no Tribunal Federal de Recursos, na forma dos seus Regimentos Internos;" II - nos Estados, conforme dispuser a norma de Organização Judiciária. Art. 494. Julgando procedente a ação, o tribunal rescindirá a sentença, proferirá, se for o caso, novo julgamento e determinará a restituição do depósito; declarando inadmissível ou improcedente a ação, a importância do depósito reverterá a favor do réu,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2026-07-28T00:07:24.375Z</dcterms:created>
  <dcterms:modified xsi:type="dcterms:W3CDTF">2026-07-28T00:07:24.375Z</dcterms:modified>
</cp:coreProperties>
</file>

<file path=docProps/custom.xml><?xml version="1.0" encoding="utf-8"?>
<Properties xmlns="http://schemas.openxmlformats.org/officeDocument/2006/custom-properties" xmlns:vt="http://schemas.openxmlformats.org/officeDocument/2006/docPropsVTypes"/>
</file>