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Relator: </w:t>
      </w:r>
      <w:r>
        <w:t xml:space="preserve">Florinda Moreira Lombardi</w:t>
      </w:r>
    </w:p>
    <w:p/>
    <w:p>
      <w:r>
        <w:t xml:space="preserve">LEI DE IMPRENSA — OFENSA À VEREADORA - DIREITO DE RESPOSTA - PUBLICAÇÃO DE NOTÍCIAS DISTORCIDAS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Lei de imprensa. Direito de resposta. Não atende às determinações do artigo 30 da Lei 5.250/67 a publicação incompleta, em lugar diverso, sem os caracteres tipográficos ao escrito que lhe deu causa. A notícia distorcida e ofensiva merece reparo, evitando macular a honorabilidade da pessoa, principalmente quando exerce uma função pública. Vistos, relatados e discutidos estes autos de Apelação Criminal nº 1.062/00, em que é Apelante Florinda Moreira Lombardi e Apelado Editora O Dia S/A. Acordam os Desembargadores que integram a Oitava Câmara Criminal do Tribunal de Justiça do Estado do Rio de Janeiro, por unanimidade, em rejeitar as preliminares argüidas pela apelada e no mérito, também por unanimidade, em acolher o recurso para que a publicação da resposta seja feita nos termos da redação de fls.19, no mesmo local de fls.15 e com o mesmo destaque, condenando a apelada nas custas do recurso, nos termos do voto do eminente Desembargador-Relator. Florinda Moreira Lombardi, qualificada na inicial de fls.02/04, devidamente instruída com os documentos de fls.05/28, requer Pedido de Resposta em face da Editora O Dia S/A, eis que: - a requerente é Vereadora junto à Câmara Municipal do Rio de Janeiro, da bancada do Partido dos Trabalhadores e em junho de 1999, viu publicado no Jornal O Dia, artigo que a acusava de se apropriar de valores decorrentes de contribuições espontâneas dos funcionários lotados em seu gabinete ao chamado fundo coletivo, adquirindo com eles bens pessoais; - que, estarrecida com tal notícia, solicitou que fossem os fatos devidamente apurados no âmbito do partido, inclusive com a abertura de suas contas bancárias, tendo a comissão reconhecido que a requerente de nada tinha se apropriado; - que a requerente enviou ao jornal uma carta de resposta, solicitando sua publicação nos termos do artigo 30, inciso I, da Lei 5250/67, sendo publicados, porém, somente alguns trechos da referida carta e a par disso, uma nota explicativa, na qual as acusações eram reafirmadas. Por tal motivo, requereu lhe fosse concedido o direito de resposta, conforme artigo 32 e seguintes da Lei 5250/67. Inicialmente, há que se examinar e decidir as preliminares argüidas nas contra-razões de fls.108/l33: I - afasta-se a invocada deserção do recurso, eis que às fls.104 estão os comprovantes do preparo. II - Quanto ao vício de representação conjugando-se o artigo 44 do Código de Processo Penal com o artigo 48 da Lei 5.250/67, espancamos qualquer irregularidade, por preencher os requisitos das normas processuais, fato que já foi objeto da douta promoção de fls.70, exaurindo-se os argumentos interpostos. III - Finalmente, a ausência de condição de procedibilidade não pode prosperar, eis que o documento de fls.15 atende à determinante legal, não havendo necessidade da página por inteiro, sendo, facilmente, intelegível. Nenhuma dúvida foi argüida quanto à autenticidade da publicação. Por todo o exposto é que rejeitamos as preliminares. Quanto ao mérito. A hipótese sub examen revela-se, na verdade, distorcida ou desconstituída da realidade dos fatos. Disse o Jornal "O DIA", fls. 15: "Conforme denunciou O DIA, a vereadora usou dinheiro do fundo coletivo de seu gabinete para mobiliar seu apartamento, incluindo um colchão de R$ 900,00, uma TV de R$ 700,00 e uma bicicleta ergométrica". Esta notícia apresenta o destaque na página 18: "PT decide punir vereadora". Encaminhada a resposta, conforme documento de fls.19, "O DIA" publicou, cortando períodos, em "Cartas na Mesa" com o título "Utilização do dinheiro público" e, não satisfeito, lançou no rodapé a "Nota da Redação" onde reafirma: "Ela própria admitiu ter usado dinheiro do fundo do gabinete para compras pessoais, como um colchão que a livrou de dores lombares". A Comissão de Ética que analisou o caso da Vereadora Florinda Lombardi, sugeriu o seguinte: "4. Sugerimos que o DM abra no partido a discu ssão sobre o funcionamento dos gabinetes e seus fundos coletivos, no caminho de uma regulamentação que evite no futuro os problemas ora ocorridos, que repetem situações já vividas em outras cidades, pelo partido. "5. Sugerimos a suspensão da Vereadora, pelo prazo de 30 dias, para que com acompanhamento de uma comissão, reorganize seu gabinete e o fundo coletivo, conforme a proposta original acordada e de forma compatível com os princípios éticos do PT. "6. Sugerimos uma advertência aos filiados Antônio Lúcio e Maneta Delduck que, sem aguardar a apuração e providências dentro do partido, lev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2026-09-10T22:40:12.873Z</dcterms:created>
  <dcterms:modified xsi:type="dcterms:W3CDTF">2026-09-10T22:40:12.873Z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