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 .</w:t>
      </w:r>
    </w:p>
    <w:p>
      <w:r>
        <w:rPr>
          <w:b/>
          <w:bCs/>
        </w:rPr>
        <w:t xml:space="preserve">Relator: </w:t>
      </w:r>
      <w:r>
        <w:t xml:space="preserve">NOTAS TAQUIGRÁFICAS O Sr</w:t>
      </w:r>
    </w:p>
    <w:p/>
    <w:p>
      <w:r>
        <w:t xml:space="preserve">MULTA DE TRÂNSITO — ENTREGA DO CERTIFICADO DE REGISTRO E LICENCIAMENTO DO VEÍCULO - INADMISSIBILIDADE - AMPLA DEFESA - PRINCÍPIOS CONSTITUCIONAIS</w:t>
      </w:r>
    </w:p>
    <w:p/>
    <w:p>
      <w:pPr>
        <w:pStyle w:val="Heading2"/>
      </w:pPr>
      <w:r>
        <w:rPr>
          <w:b/>
          <w:bCs/>
        </w:rPr>
        <w:t xml:space="preserve">Ementa</w:t>
      </w:r>
    </w:p>
    <w:p>
      <w:r>
        <w:t xml:space="preserve">ACÓRDÃO: EMENTA OFICIAL: Multa de trânsito. Exigência do pagamento prévio como condição para entrega do Certificado de Registro e Licenciamento do veículo. Inadmissibilidade. Recurso administrativo ainda não decidido. Devido processo legal. Contraditório. Ampla defesa. Princípios constitucionais. Ofensa Revela-se abusiva a conduta do Diretor do DETRAN em exigir o pagamento prévio de multa de trânsito, como condição para entrega do certificado de registro e licenciamento de veículo aos seus proprietários, mormente quando já interposto recurso administrativo, ainda não decidido. Ademais, como as infrações são passíveis de anulação, na esfera administrativa, a exigência do pagamento antecipado das multas ofende os princípios constitucionais do devido processo legal, do contraditório e da defesa ampla. Ap. Cív. 214.319-6/00 - Belo Horizonte - Rel.: Des. Isalino Lisbôa - J. em 25/10/2001 - DJ 07/02/2002 - 3ª CCív. - TJMG. Vistos etc., acorda, em Turma, a Terceira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25 de outubro de 2001. Des. Isalino Lisbôa - Relator. NOTAS TAQUIGRÁFICAS O Sr. Des. Isalino Lisbôa - Conheço do processo, em reexame necessário, bem como do recurso voluntário. Cuida-se de mandado de segurança, cujo deslinde, com relação à impetrante, Anakely Roman Pugatti, culminou com a extinção do processo, sem julgamento do mérito, com base no art. 267, VI, do Estatuto Formal. Quanto aos impetrantes, Francisco de Paula Castro Filho e Bráulio Cunha Ribeiro, concedida restou a ordem, para determinar a renovação das licenças dos veículos mencionados na inicial, no prazo legal, independentemente do pagamento das multas citadas na petição de ingresso, em razão da ausência de decisão a respeito dos recursos administrativos apresentados pelos impetrantes, caso seja este o único motivo da recusa. Ao assim proceder, bem se conduziu o ilustre Sentenciante. Induvidosamente, abusiva se revela a negativa da autoridade dita coatora em condicionar, ao pagamento de multa, a entrega do certificado de registro e licenciamento de veículo aos impetrantes, mormente quando já interposto recurso administrativo, ainda não decidido, ou seja, não se sabe, por ora, se, efetivamente, cometeram os mesmos as infrações que lhes foram imputadas. Assim, como as infrações são passíveis de anulação, na esfera administrativa, a exigência do antecipado pagamento das multas ofende os princípios constitucionais do devido processo legal, do contraditório e da defesa ampla. Impõe-se, pois, a concessão da ordem, nos exatos termos sentenciais, com relação aos impetrantes nominados no decisum. Respeitante à impetrante Anakely Roman Pugatti, correto o posicionamento perfilhado pelo MM. Juiz a quo, posto que, além de não constar qualquer multa no prontuário de seu veículo, já houve a emissão e encaminhamento de seu CRVL/2000, via correio. Frente ao deduzido, em reexame necessário, confirmo, na inteireza, a respeitável sentença singela. Custas, «ex lege». Prejudicado o recurso voluntário. O Sr. Des. Schalcher Ventura - De acordo. O Sr. Des. Aloysio Nogueira - De acordo. Súmula - EM REEXAME NECESSÁRIO, CONFIRMARAM A SENTENÇA, PREJUDICADO O RECURSO VOLUNTÁRIO. Arquivo do EMFOR, TJMG/JEABR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2026-07-28T02:40:10.321Z</dcterms:created>
  <dcterms:modified xsi:type="dcterms:W3CDTF">2026-07-28T02:40:10.321Z</dcterms:modified>
</cp:coreProperties>
</file>

<file path=docProps/custom.xml><?xml version="1.0" encoding="utf-8"?>
<Properties xmlns="http://schemas.openxmlformats.org/officeDocument/2006/custom-properties" xmlns:vt="http://schemas.openxmlformats.org/officeDocument/2006/docPropsVTypes"/>
</file>