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Julgado em: </w:t>
      </w:r>
      <w:r>
        <w:t xml:space="preserve">15/04/1980</w:t>
      </w:r>
    </w:p>
    <w:p/>
    <w:p>
      <w:r>
        <w:t xml:space="preserve">SE NELE CABE APURAÇÃO DE FALSIDADE IDEOLÓGICA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Contra a agravante foi movida uma ação de manutenção de posse (...). - Ao se defender, a ré juntou dois documentos firmados por terceiros (...). - Na réplica, o autor acoimou as declarações neles contidas de "ideologicamente falsas" (...) e, ato contínuo, suscitou incidente de falsidade. - O Dr. Juiz admitiu o incidente e suspendeu o andamento do processo (...). - Inconformada, a ré interpôs o presente agravo, sustentando, por um lado, a inadmissibilidade do incidente, e, por outro, que, ainda que fosse admissível, não se justificaria, porque ela, ré, concordara com a alegação de que os documentos continham declarações equívocas. - Como deflui claramente do texto do artigo 390 do Código de Processo Civil, o incidente de falsidade só tem lugar para apuração de falsificação material ou instrumental do documento e não para apuração de falsidade ideológica. - É que na falsidade ideológica, como se sabe, a falsidade não é do documento e sim da declaração que nele se contém. - Ora, como o citado artigo 390 fala em arguir de falso "o documento", é óbvio que a falsidade a que se refere só pode ser material ou instrumental. - No caso, o agravado, ao suscitar o incidente deixou bem claro que o fazia para o que chamou de "falsidade ideológica". Isto é, a declaração de que a extração da areia seria "a jusante" de determinada ponte e não "a montanno" (...). - Tal fundamento, como vimos, não daria lugar a incidente de falsidade, e por isso mesmo, o Dr. Juiz não deveria ter admitido o seu processamento. - Mas, ainda que não fosse essa razão, uma outra estaria a ditar a cassação do despacho agravado: a concordância da agravante com alegaçã o de que a área para extração de areia não estava "a jusante" e sim "a montante" da ponte. - Essa circunstância, por si só, seria bastante para o Dr. Juiz reconsiderar o despacho que admitiu o incidente, porque nada mais haveria a apurar no particular. - De reformar-se, pois, o despacho agravado. Julgado em 16-04-1980 Arquivo do Ementário Forense, TA/308 EMFOR 391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incidente de falsidade só tem lugar para apurar falsidade material ou instrumental do documento e não falsidade ideológica, porque esta não é do documento e sim da declaração que nele se contém.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2026-09-11T06:34:56.979Z</dcterms:created>
  <dcterms:modified xsi:type="dcterms:W3CDTF">2026-09-11T06:34:56.979Z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