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INCIDENTES E RECURSOS</w:t>
      </w:r>
    </w:p>
    <w:p/>
    <w:p>
      <w:r>
        <w:rPr>
          <w:b/>
          <w:bCs/>
        </w:rPr>
        <w:t xml:space="preserve">Recurso: </w:t>
      </w:r>
      <w:r>
        <w:t xml:space="preserve">RE 86.172</w:t>
      </w:r>
    </w:p>
    <w:p>
      <w:r>
        <w:rPr>
          <w:b/>
          <w:bCs/>
        </w:rPr>
        <w:t xml:space="preserve">Julgado em: </w:t>
      </w:r>
      <w:r>
        <w:t xml:space="preserve">04/06/1979</w:t>
      </w:r>
    </w:p>
    <w:p/>
    <w:p>
      <w:r>
        <w:t xml:space="preserve">INCIDÊNCIA DO GRAVAME SOBRE O DIREITO AO USO —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Conheço do recurso e nego-lhe provimento, confirmando, em conseqüência, a sentença apelada, reportando-me aos seus próprios fundamentos, acrescentando: o egrégio Tribunal Federal de Recursos tem decidido pela improcedência dos embargos de terceiro opostos pela Companhia Telefônica porque o uso de telefone possui valor econômico, invocando os precedentes nos agravos de petição nsº. 35.896-MG e 36.516 ("Revista Jurídica Lemi", 110/434). - E, em acórdão recente, decidiu o Supremo Tribunal Federal: "Telefone. O seu direito de uso é penhorável. Se a própria empresa concessionária do serviço público é penhorável (Código de Processo Civil, art. 678), não faz sentido pretender-se excluir do ato de constrição judicial direito de uso, decorrente de contrato celebrado com terceiro de bem àquela pertencente. Ademais, a alienação do direito de uso em leilão não acarreta nenhum obstáculo à sua aquisição, vez que o adquirente estará ciente de que haverá de aderir às normas disciplinadoras daquele direito, e, em aderindo não se lhe poderá negar o uso" (RE 86.172 MG, in DJ de 28-12-78, pág. 10.573). Julgado em 05-06-1979 Jurisprudência Mineira. Julho a Setembro, 1979 - Vol. 75 - Pág. 81 EMFOR 392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perfeitamente admissível que o direito de uso do aparelho telefônico seja objeto de penhora, mesmo porque a alienação do aludido direito em hasta pública não acarreta nenhum obstáculo à sua aquisição, tendo em vista os princípios que regem o contrato de adesão.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2026-07-28T00:24:39.705Z</dcterms:created>
  <dcterms:modified xsi:type="dcterms:W3CDTF">2026-07-28T00:24:39.705Z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