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86.172</w:t>
      </w:r>
    </w:p>
    <w:p>
      <w:r>
        <w:rPr>
          <w:b/>
          <w:bCs/>
        </w:rPr>
        <w:t xml:space="preserve">Julgado em: </w:t>
      </w:r>
      <w:r>
        <w:t xml:space="preserve">04/06/1979</w:t>
      </w:r>
    </w:p>
    <w:p/>
    <w:p>
      <w:r>
        <w:t xml:space="preserve">INCIDÊNCIA DO GRAVAME SOBRE O DIREITO AO USO —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Conheço do recurso e nego-lhe provimento, confirmando, em conseqüência, a sentença apelada, reportando-me aos seus próprios fundamentos, acrescentando: o egrégio Tribunal Federal de Recursos tem decidido pela improcedência dos embargos de terceiro opostos pela Companhia Telefônica porque o uso de telefone possui valor econômico, invocando os precedentes nos agravos de petição nsº. 35.896-MG e 36.516 ("Revista Jurídica Lemi", 110/434). - E, em acórdão recente, decidiu o Supremo Tribunal Federal: "Telefone. O seu direito de uso é penhorável. Se a própria empresa concessionária do serviço público é penhorável (Código de Processo Civil, art. 678), não faz sentido pretender-se excluir do ato de constrição judicial direito de uso, decorrente de contrato celebrado com terceiro de bem àquela pertencente. Ademais, a alienação do direito de uso em leilão não acarreta nenhum obstáculo à sua aquisição, vez que o adquirente estará ciente de que haverá de aderir às normas disciplinadoras daquele direito, e, em aderindo não se lhe poderá negar o uso" (RE 86.172 MG, in DJ de 28-12-78, pág. 10.573). Julgado em 05-06-1979 Jurisprudência Mineira. Julho a Setembro, 1979 - Vol. 75 - Pág. 81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perfeitamente admissível que o direito de uso do aparelho telefônico seja objeto de penhora, mesmo porque a alienação do aludido direito em hasta pública não acarreta nenhum obstáculo à sua aquisição, tendo em vista os princípios que regem o contrato de adesão.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2026-09-11T06:33:22.852Z</dcterms:created>
  <dcterms:modified xsi:type="dcterms:W3CDTF">2026-09-11T06:33:22.852Z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