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INCIDENTES E RECURSOS</w:t>
      </w:r>
    </w:p>
    <w:p/>
    <w:p>
      <w:r>
        <w:rPr>
          <w:b/>
          <w:bCs/>
        </w:rPr>
        <w:t xml:space="preserve">Julgado em: </w:t>
      </w:r>
      <w:r>
        <w:t xml:space="preserve">28/10/1980</w:t>
      </w:r>
    </w:p>
    <w:p/>
    <w:p>
      <w:r>
        <w:t xml:space="preserve">AÇÃO PROPOSTA POR ESTADO-MEMBRO, TERRITÓRIO OU DISTRITO FEDERAL, CONTRA AUTARQUIA FEDERAL — SE É DA COMPETÊNCIA ORIGINÁRIA DESTE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DO RELATÓRIO - Em executivo fiscal do Estado do Rio de Janeiro contra o Banco Lar Brasileiro S/A, foi admitido como litisconsorte passivo o IPASE, depois absorvido pelo INAMPS. Daí o despacho... do Dr. Juiz Federal da Terceira Vara do Estado do Rio de Janeiro, declinando da competência para o Supremo Tribunal Federal. - É o relatório preliminar, para exame da competência do Tribunal. DO VOTO - Segundo nossa jurisprudência, não é da competência originária do Supremo Tribunal Federal a causa entre autarquia federal e Estado-membro, ou Território, ou o Distrito Federal, onde ela está situada ou tem representação. Dos julgados mais recentes, que seguiram precedentes anteriores no mesmo sentido, lembro os acórdãos proferidos nas Acórdãos 230, 236 e 287, RTJ 31/329 e 330, e 92/944. - Isto posto, dou pela incompetência do Supremo Tribunal Federal para processar e julgar a ação determinando a restituição dos autos ao Juízo Federal de origem. Julgado em 29-10-1980 Revista Trimestral de Jurisprudência. Fevereiro, 1981 - Vol. 95 - Pág. 485 EMFOR 394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Escapa à competência originária do Supremo Tribunal Federal, segundo sua jurisprudência, a causa entre autarquia federal e Estado-membro, ou Território, ou o Distrito Federal, onde ela está situada ou tem representação.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RTJ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2026-09-11T06:32:18.230Z</dcterms:created>
  <dcterms:modified xsi:type="dcterms:W3CDTF">2026-09-11T06:32:18.230Z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