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>
      <w:r>
        <w:rPr>
          <w:b/>
          <w:bCs/>
        </w:rPr>
        <w:t xml:space="preserve">Recurso: </w:t>
      </w:r>
      <w:r>
        <w:t xml:space="preserve">agravo regimental 64.399</w:t>
      </w:r>
    </w:p>
    <w:p>
      <w:r>
        <w:rPr>
          <w:b/>
          <w:bCs/>
        </w:rPr>
        <w:t xml:space="preserve">Julgado em: </w:t>
      </w:r>
      <w:r>
        <w:t xml:space="preserve">10/05/1979</w:t>
      </w:r>
    </w:p>
    <w:p/>
    <w:p>
      <w:r>
        <w:t xml:space="preserve">INTERPOSIÇÃO — QUANDO SE INICIA NA DATA DA ENTREGA DA PETIÇÃO NO PROTOCOLO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Inexiste, no caso, dúvida ou omissão. O acórdão embargado se limitou, para julgar intempestivo o agravo regimental, a seguir entendimento que se firmou nesta Segunda Turma, no agravo regimental nº 64.399, relator o Sr. Min. XAVIER DE ALBUQUERQUE, quando se decidiu: "Agravo Regimental. Marca-lhe a tempestividade a sua entrada, no prazo, no protocolo do Tribunal, e não a sua entrega no Correio de origem. Não conhecimento". - Em face do exposto, rejeito os presentes embargos. Julgado em 11-05-1979 Revista Trimestral de Jurisprudência. Setembro, 1980 - Vol. 93 - Pág. 1100 EMFOR 394 EMENTA: - Não se aplica ao INPS, em ação de acidente do trabalho, o privilégio da contagem em dobro do prazo recursal, previsto no art. 188 do Código de Processo Civil. RESUMO DO ACÓRDÃO: - Nesse sentido ensina, PONTES DE MIRANDA (cf. Comentários ao Código de Processo Civil, vol. III, pág. 145) e é entendimento pacífico de nossos doutrinadores e da jurisprudência pátria. - É evidente o interesse do legislador em restringir o alcance da norma, tanto que, quando quis se referir às entidades de administração indireta, o fez de modo expresso (cf. arts. 399, III, e 511, do Código de Processo Civil). - As autarquias, embora integrantes da administração indireta, têm personalidade jurídica distinta das respectivas entidades instituidoras, pessoas de direito público interno e com as mesmas não se identificam e nem se confundem. - É de considerar-se, entretanto, que mesmo que intempestivo não fosse o recurso, admitindo-se para argumentar, não haveria de ser provido, pois a douta sentença recorrida está muito bem fundamentada e o seu ilustre prolator, apreciou suficientemente a prova dos autos e aplicou corretamente a lei e o direito inerente à hipótese em exame. - ............................... - Pelos motivos expostos, não se conhece do recurso, por intempestivo, mantendo se, assim, integralmente, a douta sentença recorrida, pelos seus jurídicos fundamentos. Julgado em 18-06-1980 Arquivo do Ementário Forense, TA/327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tempestividade do recurso se afere com base na data de entrada, de sua petição de interposição no protocolo desta Corte, e não na da entrega dela no correio de origem.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2026-09-10T22:45:33.942Z</dcterms:created>
  <dcterms:modified xsi:type="dcterms:W3CDTF">2026-09-10T22:45:33.942Z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