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POR QUANTIA CERTA</w:t>
      </w:r>
    </w:p>
    <w:p/>
    <w:p>
      <w:r>
        <w:rPr>
          <w:b/>
          <w:bCs/>
        </w:rPr>
        <w:t xml:space="preserve">Julgado em: </w:t>
      </w:r>
      <w:r>
        <w:t xml:space="preserve">19/05/1980</w:t>
      </w:r>
    </w:p>
    <w:p/>
    <w:p>
      <w:r>
        <w:t xml:space="preserve">FURTO EM ESTACIONAMENTO — CASO EM QUE SE CONFIGURA A NEGLIGÊNCIA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firmar-se o contrato para guarda do veículo na garagem de exploração comercial e com a entrega da coisa ao garagista, o que se procurava acobertar, mediante o pagamento de certa quantia, eram justamente esses riscos de sua perda e furto ou deterioração, e, assim, em ocorrendo furto, ainda com violência, impossível é isentar-se o empresário de responder pelos prejuízos, ante o elementar raciocínio de que não se pode ele se livrar do que, exatamente, constituía aqueles riscos assumidos. - Este tema, observe-se, conta com os aplausos da melhor doutrina jurídica, como professa o insigne CARVALHO SANTOS ao exemplificar dentre as hipóteses que necessariamente excluem caso fortuito ou de força maior aqueles em que o "caso fortuito ou o risco é um elemento inerente ao funcionamento da empresa, a qual ficaria a coberto dos prejuízos por meio de seguro" ("Código Civil Brasileiro Interpretado", XIV, 247, 6ª ed.). - Na hipótese "sub judice", é o que se verificou, eis que a guarda em garagem de exploração comercial pressupõe o risco contra o furto, o qual, de resto, o garagista, réu, já acobertara através do contrato de seguro. - Reforma-se pois, o acórdão embargado, para restabelecer a sentença de 1º grau, Julgado em 20-05-1980 VENCIDO O JUIZ EMERSON PARENTE (relator). Arquivo do Ementário Forense, TA/395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"assalto"' e furto da coisa, não pode o seu guardião, que o é porque explora o negócio, de garagem, isentar-se de responder por perdas e danos, invocando caso fortuito ou força maior.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2026-09-11T01:30:50.243Z</dcterms:created>
  <dcterms:modified xsi:type="dcterms:W3CDTF">2026-09-11T01:30:50.243Z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