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DANO MATERIAL</w:t>
      </w:r>
    </w:p>
    <w:p/>
    <w:p>
      <w:r>
        <w:rPr>
          <w:b/>
          <w:bCs/>
        </w:rPr>
        <w:t xml:space="preserve">Julgado em: </w:t>
      </w:r>
      <w:r>
        <w:t xml:space="preserve">20/05/1980</w:t>
      </w:r>
    </w:p>
    <w:p/>
    <w:p>
      <w:r>
        <w:t xml:space="preserve">SE PODE SER COMO TAL CONSIDERADA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Embargos oferecidos em execução, fundado em título extrajudicial - Conta-fatura - pertinente a tratamento médico, julgados procedentes -... - entendendo o nobre julgador do 1º grau, ao acolher os Embargos, que a dívida não trazia a liquidez necessária para deferir-se a execução compulsória. - Inconformada recorre a apelante, alegando, em síntese, que a hipótese está amparada pela Lei 5.474/68 - duplicatas de prestação de serviços - ensejadora da cobrança compulsória. - E com inteira pertinência. Trata-se de conta-fatura referente a serviços médicos prestados pelo apelante, com autorização expressa de preposto da apelada. - O procedimento executório tem respaldo na Lei 5.474/68 e é bastante significativo, como aliás enfatizado pelo apelante, que a empresa apelada não tenha impugnado especificamente nenhuma das parcelas que estavam sendo exigidas. Cogita-se, assim, da impugnação "in genere" incapaz ao nosso ver, de descaracterizar a cobrança compulsória. Julgado em 21-05-1980 Arquivo do Ementário Forense, TA/344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Conta-fatura por serviços médicos prestados, com autorização expressa do responsável, enseja a execução compulsória nos termos da Lei 5.474/68.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2026-10-26T03:47:49.913Z</dcterms:created>
  <dcterms:modified xsi:type="dcterms:W3CDTF">2026-10-26T03:47:49.913Z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