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09/08/1978</w:t>
      </w:r>
    </w:p>
    <w:p/>
    <w:p>
      <w:r>
        <w:t xml:space="preserve">SUA EXIGÊNCIA ANTECIPADA — SE É LÍCITA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 desejo acentuar que exigir o pagamento antecipado de todas as custas dos embargos como sugerido pelo escrivão, é "praxe" viciosa contrária à lei, que diz "que o pagamento será feito por ocasião de cada ato, devendo entender-se que o seja antes da realização do ato, pois o "caput" fala em antecipação. Não quis a lei brasileira seguir o sistema global adotado em outros países (HÉLIO TORNAGHI, "Comentários ao Código de Processo Civil", vol. 1º, art. 19), ou seja, de todas as custas da causa. - É que a relação processual pode sofrer crise em seu curso, extinguindo-se, de sorte que a antecipação global das custas poderá representar pagamento sem que corresponda a um ato praticado ou requerido. - ............................................. - Concluindo nego provimento à apelação. Julgado em 10-08-1978 Revista dos Tribunais. Novembro, 1979 - Vol. 529 - Pág. 199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19 do Código de Processo Civil. - É praxe contrária à lei exigir o pagamento antecipado de todas as custas dos embargos à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2026-10-26T04:31:00.393Z</dcterms:created>
  <dcterms:modified xsi:type="dcterms:W3CDTF">2026-10-26T04:31:00.393Z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