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PROMESSA DE COMPRA E VENDA</w:t>
      </w:r>
    </w:p>
    <w:p>
      <w:r>
        <w:rPr>
          <w:i/>
          <w:iCs/>
          <w:color w:val="666666"/>
        </w:rPr>
        <w:t xml:space="preserve">MORA DO PROMITENTE COMPRADOR</w:t>
      </w:r>
    </w:p>
    <w:p/>
    <w:p>
      <w:r>
        <w:rPr>
          <w:b/>
          <w:bCs/>
        </w:rPr>
        <w:t xml:space="preserve">Julgado em: </w:t>
      </w:r>
      <w:r>
        <w:t xml:space="preserve">02/06/1979</w:t>
      </w:r>
    </w:p>
    <w:p/>
    <w:p>
      <w:r>
        <w:t xml:space="preserve">SE É NECESSÁRIA PARA CONSTITUIR EM MORA O FIADOR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Razão não assiste aos apelantes. - Pela carta de fiança assinada pelo casal (...), renunciando à faculdade do art. 1.500 e ao art. 1.491 do Código Civil, responsabilizaram-se os apelantes, perante a apelada, "como fiadores e principais pagadores solidariamente responsáveis de Auto Posto Decolore Ltda. ... em garantia do pagamento de seus débitos decorrentes de transações que esta realiza com a mesma Shell Brasil S/A (Petróleo)" (sic). - Realmente, como observou o Juiz, não se aplica à espécie o art. 960 do Código Civil, que exige a interpelação para constituir o devedor em mora, tratando-se de obrigação positiva e líquida, apenas quando não houver prazo assinado (2ª parte do dispositivo). - Com efeito, em decorrência das transações comerciais noticiadas nos autos, entre a afiançada e a agravada foram emitidos cheques e aceitas duplicatas pelo Auto Posto Decolore Ltda., aqueles não pagos por insuficiência de fundos e estas igualmente não resgatadas no vencimento. - Tais documentos são títulos executivos extrajudiciais e sem dúvida gozam na presunção de liquidez e certeza, sendo portanto exigíveis (CPC, art. 586). Nasceram, como se disse, de negócios assegurados pela carta de fiança aludida e por esta razão o inadimplemento por parte da afiançada caracteriza a sua mora depois da interpelação pelo protesto cambiário. - Isto não quer dizer, contudo, que devam também os fiadores ser constituídos em mora através de interpelação judicial ou extrajudicial, uma vez que, caracterizada a mora da devedora principal, emergiu o débito e a efetiva responsabilidade dos fiadores. - A respeito, é oportuno lembrar que o art. 1.483 do Código Civil, dispõe que "a fian ça dar-se-á por escrito e não admite interpretação extensiva"; vale dizer o fiador responde pelo que expressamente se obrigou na respectiva carta: no caso dos autos, por todos os débitos decorrentes de transações entre a afiançada e a Shell. - É certo que, em se tratando de dívidas futuras, o fiador só será demandado depois que se fizer certa e líquida a obrigação do principal devedor (CC, art. 1.485). E tal liquidez e certeza se completaram no momento em que a afiançada, em transações protegidas pela garantia fidejussória, emitiu cheques e aceitou duplicatas títulos que, pela sua própria natureza, "são líquidos e certos no seu nascimento" (sic,...). - PONTES DE MIRANDA observa que "se a fiança garante dívida futura, o fiador já se vinculou pelo adimplemento pela pessoa a que nasça a dívida. A futuridade é da dívida principal, que ainda não nasceu; e não da vinculação do fiador que já se submeteu a deveras, como, por exemplo, o de não se desonerar se há prazo determinado" (in "Tratado de Direito Privado", 2ª ed., Borsol, 1963, vol. 44/151). - Decorre daí que construída ou constituída a liquidez e certeza da obrigação da devedora principal, protestados os títulos e não pagos, pela sua satisfação responderão os fiadores, que perfeitamente ser chamados e demandados juntamente com a afiançada. - A fiança, preleciona o Prof. WASHINGTON DE BARROS MONTEIRO, "pode ser anterior à obrigação principal, pode ser concomitante (ao mesmo tempo que se forma a obrigação principal, o fiador só poderá ser acionado depois que se deposite, isto é, depois que se torne líquida e certa a responsabilidade do principal devedor. É o caso do fiador que garante a gestão de alguém que vai servir de caixa num estabelecimento bancário; só depois que não houver mais dúvida sobre a obrigação deste, só depois de fixado com exatidão o montante de seu alcance, é que o fiador pode ser demandado" in "Curso de Direito Civil - Direito das Obrigações", 2º vol., ed. Saraiva, 1956, p. 393). O exemplo citado ilustra bem a questão e evidentemente não é o que ocorre nos autos, onde a liquidez e certeza emergem da realização de negócios sob a garantia citada, com a emissão dos cheques e aceite das duplicatas não pagas pela afiançada. - Assim, pois, nega-se provimento ao agravo. Julgado em 03-06-1979 Revista dos Tribunais. Janeiro, 1980 - Vol. 531 - Pág. 142 EMFOR 396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fato de ter sido caracterizada a mora do afiançado pelo protesto cambiário não quer dizer que também os fiadores devam ser constituídos em mora através de interpelação judicial. (Ementa do EMENTÁRIO FORENSE)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2026-10-26T04:30:58.116Z</dcterms:created>
  <dcterms:modified xsi:type="dcterms:W3CDTF">2026-10-26T04:30:58.116Z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