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AVERBAÇÃO NO REGISTRO DE IMÓVEIS</w:t>
      </w:r>
    </w:p>
    <w:p/>
    <w:p>
      <w:r>
        <w:rPr>
          <w:b/>
          <w:bCs/>
        </w:rPr>
        <w:t xml:space="preserve">Julgado em: </w:t>
      </w:r>
      <w:r>
        <w:t xml:space="preserve">31/03/1981</w:t>
      </w:r>
    </w:p>
    <w:p/>
    <w:p>
      <w:r>
        <w:t xml:space="preserve">DOMÍNIO DIRETO DE PROPRIEDADE DA UNIÃO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há de se fixar entendimento quanto à possibilidade, ou não, de ser usucapido o domínio útil dos bens públicos do Estado, tema sobre o qual divergem o voto maior e o voto vencido. - A resposta deve ser afirmativa. - A análise da legislação sobre o regime jurídico dos bens públicos demonstra que ao tempo em que vigia o D.L. 710, de 17-09-38 estava afastada a possibilidade de ser usucapido o domínio direto, por isso que o § 2º do art. 12 daquele diploma legal, assim dispunha ''verbis'': ''Não pode ser, igualmente, adquirido por usucapião o domínio útil ou direto dos terrenos de marinha ou quaisquer outros sujeitos a aforamento''. - Ocorre que o D.L. 710 de 1938 teve curta vigência, pois, exatamente 8 anos após, era revogado pelo D.L. 9.760, de 05-09-46, que regulou integralmente a mesma matéria, dispondo, a propósito, no art. 200: ''Os bens imóveis da União, seja qual for sua natureza, não são sujeitos a usucapião''. - Vale observar, entretanto, que lei revogadora não repetiu a disposição antes referida, do § 2º do art. 12 do D.L. 710/38, que vedava o usucapião do domínio útil. - Afastada a expressa vedação legal a questão se coloca dentro do sistema jurídico. - Ora a enfiteuse importa no desdobramento do domínio: Enquanto o primitivo proprietário conserva para si o domínio direto, transfere a outrem o domínio útil. - Assim, na enfiteuse de bens do Estado, o domínio útil sai da sua titularidade, deixa de ser bem público, para se tornar bem particular, do enfiteuta, e como tal, torna-se suscitável de ser usucapido. - ........................................................... Julgado em 01-04-1981 Arquivo do Ementário Forense, TJ /1000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domínio útil de bem público estadual é usucapível, do que, entretanto, é insuscetível o domínio direto.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2026-10-26T05:01:30.705Z</dcterms:created>
  <dcterms:modified xsi:type="dcterms:W3CDTF">2026-10-26T05:01:30.705Z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