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SEPARAÇÃO JUDICIAL</w:t>
      </w:r>
    </w:p>
    <w:p>
      <w:r>
        <w:rPr>
          <w:i/>
          <w:iCs/>
          <w:color w:val="666666"/>
        </w:rPr>
        <w:t xml:space="preserve">AVERBAÇÃO NO REGISTRO DE IMÓVEIS</w:t>
      </w:r>
    </w:p>
    <w:p/>
    <w:p>
      <w:r>
        <w:rPr>
          <w:b/>
          <w:bCs/>
        </w:rPr>
        <w:t xml:space="preserve">Recurso: </w:t>
      </w:r>
      <w:r>
        <w:t xml:space="preserve">RE 79.327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BILAC PINTO</w:t>
      </w:r>
    </w:p>
    <w:p>
      <w:r>
        <w:rPr>
          <w:b/>
          <w:bCs/>
        </w:rPr>
        <w:t xml:space="preserve">Julgado em: </w:t>
      </w:r>
      <w:r>
        <w:t xml:space="preserve">31/03/1981</w:t>
      </w:r>
    </w:p>
    <w:p/>
    <w:p>
      <w:r>
        <w:t xml:space="preserve">ENCURTAMENTO POR LEI NOVA — TEMPO DECORRIDO ENTRE A CITAÇÃO E A SENTENÇA - 
QUANDO É COMPUTADO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... questão diz com a ocorrência da prescrição aquisitiva, pela posse ''ad usucapionem'' durante o prazo fixado em lei. - A indagação desdobra-se em duas e, ainda neste passo a razão, ''data venia'', está com o v. acórdão embargado que esposou, a respeito da lei aplicável, a melhor doutrina e encontra amparo em julgados da Suprema Corte. - Efetivamente, já decidiu o Colendo STF: ''Caso em que o prazo prescribente fixado na lei nova é menor do que o prazo prescricional marcado na lei anterior. Feita a contagem do prazo prescribente, marcado na lei nova (isso a partir da vigência dessa lei e se ocorrer que ele termine antes de findar-se o prazo maior fixado na lei anterior, é de se considerar o prazo menor previsto na lei posterior contado esse prazo a partir da vigência da segunda lei ... (RE 79.327, rel. Min. ANTÔNIO NEVES). - Na espécie, o prazo, então de 30 anos, foi encurtado, pela Lei 2.437, que entrou em vigor no dia 1.1.56. O novo prazo, contado a partir daí, completar-se-ía em 31-12-75 (20 anos). - A ação foi ajuizada em 1969, do que resulta que, tomado o ''dies a quo'' a vigência da nova lei, (1-1-56) e como ''dies ad quem'' a citação, a posse da autora contraria, apenas, 13 anos, enquanto que pela lei anterior, tendo-se por ''dies a quo'' o inventário (1948) e ''dies ad quem'' a citação (1969) teria apenas 21 dos 30 anos necessários para usucapiar. - O voto maior, ao contrário do voto divergente, entretanto, considerou que, não tendo sido contestado o domínio útil, a citação não operaria como ''dies ad quem'', devendo ser computado o prazo superveniente. - Andou certo, ''data venia'' o v. acórdão. - Todos estão de acordo em que o imóvel é foreiro ao Município e este reconhece o emprazamento a D. A. R. de M., q ue, por sucessão, foi transferido a F. M.. A filha deste D.M., pelo doc. ... afirmou ter conhecimento de que seu pai, em vida, vendeu o referido imóvel a N.P., (marido da Autora) razão por que não foi o bem inventariado. - Ora a interrupção da prescrição pela citação é feita em favor do credor, na prescrição extintiva, e no caso de prescrição aquisitiva, também em favor daquele em face de quem é exercido o direito de usucapir. - Ocorre, como já se salientou, que não há controvérsia quanto à transferência do domínio útil. - Emerge daí que a citação não opera como ''dies ad quem'' devendo, por isso, ser levado em conta o prazo superveniente, na forma do que dispõe o art. 462 do Código de Processo Civil. - Sendo assim, ao ser proferida a sentença (1979) de primeiro grau (...) contava a posse da autora mais de 20 anos, tomado o início com a vigência da lei nova (1956) e mais de 30, se contada a partir de 1948 (data do inventário). - Por tais fundamentos, rejeito os Embargos. Julgado em 01-04-1981 Arquivo do Ementário Forense, TJ/1000 EMFOR 399 EMENTA: - É nula a alienação de imóvel feita diretamente por ascendente a descendente (filhos adulterinos) com violação do art. 1.132 o Código Civil. (Ementa modificada pelo EMENTÁRIO FORENSE) RESUMO DO ACÓRDÃO: - É certo que o Supremo Tribunal Federal, a princípio considerou anulável tal ato jurídico, talvez sob a inspiração da segunda posição de CLÓVIS BEVILÁQUA, que considerava anulável tais vendas. Resultou dessa interpretação a ''Súmula 152 (*)'', que fazia distinção entre venda com simulação sendo de quatro anos o prazo prescricional, e venda direta, em que o prazo seria de vinte anos. Mas, a jurisprudência consolidou-se no sentido da nulidade do ato, seja praticado com simulação, seja sem fraude, prescrevendo-se o direito de promover ação em vinte anos. É o que dispõe a ''Súmula 494 (**)'', que expressamente revogou a de 152. No presente caso, trata-se alienação direta, pois o pai dos embargados, valendo-se de procuração outorgada pela esposa, cedeu direitos de promitente comprador de lotes, em Jacarepaguá, a filhos adulterinos, não reconhecidos, prejudicando os filhos legítimos. Falecida a esposa, casou-se com a concubina, legitimando os filhos adulterinos, beneficiados com a cessão. Assim, seja pela Súmula revogada, a de nº 152, seja pela vigente, a de nº 494, o ato é nulo, prescrevendo-se, como entendeu a douta maioria, em vinte anos. O nascimento é fato jurídico, não ignorando pelo alienante. Sendo assim, não é o reconhecimento ou a legitimação que atribuem o estado de filho, criando o obstáculo à cessão ou à venda, mas o fato jurídico. O filho era adulterino, por força de fato jurídico, e a cessão beneficiou-o, com prejuízo dos demais herdeiros. -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sendo contestado o direito do prescribente, o tempo decorrido entre a citação e a sentença soma-se ao anterior.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2026-09-11T00:28:01.175Z</dcterms:created>
  <dcterms:modified xsi:type="dcterms:W3CDTF">2026-09-11T00:28:01.175Z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