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EXTINÇÃO DO PROCESSO</w:t>
      </w:r>
    </w:p>
    <w:p>
      <w:r>
        <w:rPr>
          <w:i/>
          <w:iCs/>
          <w:color w:val="666666"/>
        </w:rPr>
        <w:t xml:space="preserve">INDEFERIMENTO DA INICIAL</w:t>
      </w:r>
    </w:p>
    <w:p/>
    <w:p/>
    <w:p>
      <w:r>
        <w:t xml:space="preserve">073. LIVRO II — Do Processo de Execução
      TÍTULO V - Da Remição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TÍTULO V DA REMIÇÃO Art. 787. É lícito ao cônjuge, ao descendente, ou ao ascendente do devedor remir todos ou quaisquer bens penhorados, ou arrecadados no processo de insolvência, depositando o preço por que foram alienados ou adjudicados. Parágrafo único. A remição não pode ser parcial, quando há licitante para todos os bens. (Revogado pela Lei 11.382/06) Art. 788. O direito a remir será exercido no prazo de 24 (vinte e quatro) horas, que mediar: I - entre a arrematação dos bens em praça ou leilão e a assinatura do auto (art. 693); II - entre o pedido de adjudicação e a assinatura do auto, havendo um só pretendente (art. 715, § 1º); ou entre o pedido de adjudicação e a publicação da sentença, havendo vários pretendentes (art. 715, § 2º). (Revogado pela Lei 11.382/06) Art. 789. Concorrendo à remição vários pretendentes, preferirá o que oferecer maior preço; em condições iguais de oferta, deferir-se-á na seguinte ordem: I - ao cônjuge; II - aos descendentes; III - aos ascendentes. Parágrafo único. Entre descendentes, bem como entre ascendentes, os de grau mais próximo preferem aos de grau mais remoto; em igualdade de grau, licitarão entre si os concorrentes, preferindo o que oferecer maior preço. (Revogado pela Lei 11.382/06) Art. 790. Deferindo o pedido, o juiz mandará passar carta de remição, que conterá, além da sentença, as seguintes peças: I - a autuação; II - o título executivo; III - o auto de penhora; IV - a avaliação V - a quitação de impostos. (Revogado pela Lei 11.382/06) Art. 791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2026-10-26T03:47:53.599Z</dcterms:created>
  <dcterms:modified xsi:type="dcterms:W3CDTF">2026-10-26T03:47:53.599Z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