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OUTROS RECURSOS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03/06/1981</w:t>
      </w:r>
    </w:p>
    <w:p/>
    <w:p>
      <w:r>
        <w:t xml:space="preserve">IRREVOGABILIDADE E IRRETRATABILIDADE — QUANDO SE CONSIDERAM IMPLÍCITAS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Há ligeiro equívoco na espécie: o sinal ou arras, dado por um dos contratantes, firma a presunção de acordo final, e torna obrigatório o contrato. Isto é o que diz o art. 1.094, do Código Civil. Podem as partes, diz o art. imediato, estipular o direito de se arrepender, não obstante as arras oferecidas, das arras que foram aceitas. O que se exige seja expresso é o arrependimento - a revogabilidade ou retratabilidade. Subentende-se seja o contrato irretratável e irrevogável, necessária não sendo cláusula expressa, reitere-se. - Indispensável, de maneira expressa, é a cláusula de arrependimento. Assim, a declaração - o recibo - tem o caráter de acordo final, e somente por via de rescisão, amigável ou judicial - poderá ser desfeito. - ...................................................... Julgado em 04-06-1981 Arquivo do Ementário Forense, TJ/1022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cláusulas de irrevogabilidade e irretratabilidade, nos contratos bilaterais, presumem-se existirem, dispensável sendo que sejam expressas, pois o arrependimento, a revogabilidade, estes sim, necessitam expressa menção.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2026-07-28T02:36:54.238Z</dcterms:created>
  <dcterms:modified xsi:type="dcterms:W3CDTF">2026-07-28T02:36:54.238Z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