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12/11/1979</w:t>
      </w:r>
    </w:p>
    <w:p/>
    <w:p>
      <w:r>
        <w:t xml:space="preserve">OPOSIÇÃO — CONSIDERAÇÃO DO VALOR DADO A ESTA PARA O EFEITO DA ALÇADA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Este o despacho com o qual neguei seguimento ao agravo de instrumento: Vistos. Nego seguimento ao agravo. 2. Incensurável o longo e bem fundamentado despacho do ilustre Presidente, Juiz AGRIPINO VIEIRA DE SOUZA. Dele cabe destacar, todavia. o seguinte fragmento: "Nego seguimento. A consideração do valor atribuído à presente oposição é, penso, induvidosa, face à unanimidade da doutrina em ver na oposição uma mera ação nucleada por pretensão autônoma e só por conveniências processuais inseridas em demanda preexistente. Sem contar, de um lado, que o próprio Código de Processo Civil, em seu art. 60, assegura essa autonomia existencial até mesmo em feição formal; de outro, que no plano do valor da causa, há normas expressas a imporem se lhe dê valor próprio (CPC, art. 57, c/c o art. 282, V). Em decorrência, inelutável a incidência do art. 308 do Regimento Interno do Supremo Tribunal Federal, a fazer só considerável a arguição de ofensa ao art. 153, § 22, da Carta Magna. Essa, todavia, sem substância, conforme as seguintes abreviadas razões que se somam e completam: a) carente ele prequestionamento (Súmula 282), posto que nem no v. arresto atacado nem em qualquer momento anterior abordada a questão ao prisma constitucional; b) a matéria foi, toda ela, solvida à luz dos fatos e das provas, segundo resulta nítido dos tópicos das decisões em ambos os graus, aqui reproduzidos; o que inclui não apenas a análise de laudos referidos à coincidência das áreas, como exame da abrangência e eficiência de cláusulas contratuais. Operam, pois, aqui, em sistema, os verbetes ns. 279 (***) e 454 (****) da Súmula; c) a sustentação doutrinária do v. arresto, bem como a invocação de precedentes do Pretório Excelso asseguram ao decidido quando menos, a marca da razoabilidade; o que permite atue, também, o enunciado nº 400 (*****). Não há pois, segundo entendo, via para acesso desse reclamo excepcional à Suprema Corte. Anoto, por arremate que os recorrentes aludem a que a espécie, "verbis", "justifica a arguição de relevância". Como, porém, completamente omitidas as providências exigidas pelo art. 308, § 4º, I, do Regimento Interno do Supremo Tribunal Federal, não considero a ocorrência de uma típica Arguição de Relevância, vendo no trecho referido, mero argumento para ressaltar a expressão do tema. No agravo não lograram os inconformados elidir dita fundamentação, e a leitura dos autos me levou a inferência diversa daquela do despacho agravado. Isto posto, arquive-se, nos termos do Regimento Interno, art. 22, § 1º. Publique-se. A tempo, regimentalmente, agravou o prejudicado. ........................................................... Mantive o despacho agravado, (...). DO VOTO - ... O valor da oposição, por ser verdadeira ação sujeita às suas exigências (Código de Processo Civil, art. 60 e 55, c/c 282, V), é que regula a alçada para o efeito do extraordinário. - E como, evidentemente, não ocorrem as ressalvas do "caput" do art. 308, incide seu inciso VIII, do Regimento Interno, na redação da Emenda nº 3/75, obstando a cabilidade do excepcional. - De resto, a mera invocação do art. 153, § 22, da Constituição, não se faz bastante para abrir a instância extraordinária, pois, não há uma só palavra no decisório cuidando da citada garantia. - Manifesta-se, pois, a incidência das Súmulas ns. 282 e 356. - É o meu voto. Julgado em 13-11-1979 Revista Trimestral de Jurisprudência. Março, 1981 - Vol. 95 - Pág. 1.123 (*) "É inadmissível o recurso extraordin ário, quando não ventilada, na decisão recorrida, a questão federal suscitada." ("EMENTÁRIO FORENSE", Nº 195, st. CABIMENTO). (**) "O ponto omisso da decisão, sobre o qual não foram opostos embargos declaratórios, não pode ser objeto de recurso extraordinário, por faltar o requisito do prequestionamento." ("E.F.", Nº 196. st. CABIMENTO). (***) "Para simples reexame de prova não cabe recurso extraordinário." ("EMENTÁRIO FORENSE", Nº 193, st. PROVA). (****) Simples interpretação de cláusulas contratuais não dá lugar a recurso extraordinário." ("EMENTÁRIO FORENSE", Nº 193, st. CONTRATO). (*****) "Decisão que deu razoável interpretação à lei, ainda que não seja a melhor, não autoriza recurso extraordinário pela letra "a" do art. 101, III, da Constituição Federal" ("EMENTÁRIO FORENSE", Nº 191, st. OFENSA À LEI FEDERAL).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Incidência do art. 308, VIII, do Regimento Interno, na redação da Emenda nº 3/75, e Súmulas 282 (*) e 356 (**). - Por se equiparar processualmente à ação, o valor que obrigatoriamente deve ser dado à oposição é o que regula a alçada para efeito do recurso extraordinário (Código de Processo Civil. arts. 60, 57 e 282, V).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2026-10-26T05:26:36.909Z</dcterms:created>
  <dcterms:modified xsi:type="dcterms:W3CDTF">2026-10-26T05:26:36.909Z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