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Relator: </w:t>
      </w:r>
      <w:r>
        <w:t xml:space="preserve">ROMEU RODRIGUES SILVA</w:t>
      </w:r>
    </w:p>
    <w:p/>
    <w:p>
      <w:r>
        <w:t xml:space="preserve">05. I.C.M. — INCIDÊNCIA SOBRE O ÁLCOOL ANIDRO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5 I.C.M. - INCIDÊNCIA SOBRE O ÁLCOOL ANIDRO. "Até o advento do D.L. nº 1.409, de 11 de junho de 1975, está sujeito à incidência do I.C.M.. "O álcool anidro originário de cana de açúcar, com as especificações definidas pelo Conselho Nacional de Petróleo, para fins de adição à gasolina." REFERÊNCIA: Uniformização de Jurisprudência nº 03 no Agravo de Petição nº 34.657 e Uniformização de Jurisprudência nº 4 no Agravo de Petição nº 34.675 - Julgamento conjunto em 03.05.76. Relator: Des. ROMEU RODRIGUES SILVA. Registro de Acórdão em 09/07/76.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2026-10-26T02:49:34.844Z</dcterms:created>
  <dcterms:modified xsi:type="dcterms:W3CDTF">2026-10-26T02:49:34.844Z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