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Relator: </w:t>
      </w:r>
      <w:r>
        <w:t xml:space="preserve">ROMEU RODRIGUES SILVA</w:t>
      </w:r>
    </w:p>
    <w:p/>
    <w:p>
      <w:r>
        <w:t xml:space="preserve">05. I.C.M. — INCIDÊNCIA SOBRE O ÁLCOOL ANIDRO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5 I.C.M. - INCIDÊNCIA SOBRE O ÁLCOOL ANIDRO. "Até o advento do D.L. nº 1.409, de 11 de junho de 1975, está sujeito à incidência do I.C.M.. "O álcool anidro originário de cana de açúcar, com as especificações definidas pelo Conselho Nacional de Petróleo, para fins de adição à gasolina." REFERÊNCIA: Uniformização de Jurisprudência nº 03 no Agravo de Petição nº 34.657 e Uniformização de Jurisprudência nº 4 no Agravo de Petição nº 34.675 - Julgamento conjunto em 03.05.76. Relator: Des. ROMEU RODRIGUES SILVA. Registro de Acórdão em 09/07/76.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2026-06-17T14:20:40.644Z</dcterms:created>
  <dcterms:modified xsi:type="dcterms:W3CDTF">2026-06-17T14:20:40.644Z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