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2.355</w:t>
      </w:r>
    </w:p>
    <w:p>
      <w:r>
        <w:rPr>
          <w:b/>
          <w:bCs/>
        </w:rPr>
        <w:t xml:space="preserve">Relator: </w:t>
      </w:r>
      <w:r>
        <w:t xml:space="preserve">MURTA RIBEIRO</w:t>
      </w:r>
    </w:p>
    <w:p/>
    <w:p>
      <w:r>
        <w:t xml:space="preserve">06. I.C.M. — NÃO INCIDÊNCIA SOBRE A IMPORTAÇÃO DE BENS DE CAPITAL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6 I.C.M. - NÃO INCIDÊNCIA SOBRE A IMPORTAÇÃO DE BENS DE CAPITAL. "O imposto de circulação de mercadorias não incide sobre a importação de bens de capital." REFERÊNCIA: Uniformização de Jurisprudência nº 06 na Apelação Cível nº 2.355 - Julgamento em 28.04.77. Relator: Des. MURTA RIBEIRO. Registro do Acórdão em 18/08/77.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2026-09-10T22:09:17.029Z</dcterms:created>
  <dcterms:modified xsi:type="dcterms:W3CDTF">2026-09-10T22:09:17.029Z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