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Apelação Cível 2.355</w:t>
      </w:r>
    </w:p>
    <w:p>
      <w:r>
        <w:rPr>
          <w:b/>
          <w:bCs/>
        </w:rPr>
        <w:t xml:space="preserve">Relator: </w:t>
      </w:r>
      <w:r>
        <w:t xml:space="preserve">MURTA RIBEIRO</w:t>
      </w:r>
    </w:p>
    <w:p/>
    <w:p>
      <w:r>
        <w:t xml:space="preserve">06. I.C.M. — NÃO INCIDÊNCIA SOBRE A IMPORTAÇÃO DE BENS DE CAPITAL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6 I.C.M. - NÃO INCIDÊNCIA SOBRE A IMPORTAÇÃO DE BENS DE CAPITAL. "O imposto de circulação de mercadorias não incide sobre a importação de bens de capital." REFERÊNCIA: Uniformização de Jurisprudência nº 06 na Apelação Cível nº 2.355 - Julgamento em 28.04.77. Relator: Des. MURTA RIBEIRO. Registro do Acórdão em 18/08/77.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2026-10-26T03:20:50.278Z</dcterms:created>
  <dcterms:modified xsi:type="dcterms:W3CDTF">2026-10-26T03:20:50.278Z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