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VIGILÂNCIA SANITÁRIA</w:t>
      </w:r>
    </w:p>
    <w:p>
      <w:r>
        <w:rPr>
          <w:i/>
          <w:iCs/>
          <w:color w:val="666666"/>
        </w:rPr>
        <w:t xml:space="preserve">RES ANVS/DC Nº 98 DE 20-11-2000</w:t>
      </w:r>
    </w:p>
    <w:p/>
    <w:p>
      <w:r>
        <w:rPr>
          <w:b/>
          <w:bCs/>
        </w:rPr>
        <w:t xml:space="preserve">Recurso: </w:t>
      </w:r>
      <w:r>
        <w:t xml:space="preserve">Apelação Cível 2.355</w:t>
      </w:r>
    </w:p>
    <w:p>
      <w:r>
        <w:rPr>
          <w:b/>
          <w:bCs/>
        </w:rPr>
        <w:t xml:space="preserve">Relator: </w:t>
      </w:r>
      <w:r>
        <w:t xml:space="preserve">MURTA RIBEIRO</w:t>
      </w:r>
    </w:p>
    <w:p/>
    <w:p>
      <w:r>
        <w:t xml:space="preserve">06. I.C.M. — NÃO INCIDÊNCIA SOBRE A IMPORTAÇÃO DE BENS DE CAPITAL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PROPOSIÇÃO Nº 6 I.C.M. - NÃO INCIDÊNCIA SOBRE A IMPORTAÇÃO DE BENS DE CAPITAL. "O imposto de circulação de mercadorias não incide sobre a importação de bens de capital." REFERÊNCIA: Uniformização de Jurisprudência nº 06 na Apelação Cível nº 2.355 - Julgamento em 28.04.77. Relator: Des. MURTA RIBEIRO. Registro do Acórdão em 18/08/77.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2026-06-17T13:59:59.005Z</dcterms:created>
  <dcterms:modified xsi:type="dcterms:W3CDTF">2026-06-17T13:59:59.005Z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