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6.187</w:t>
      </w:r>
    </w:p>
    <w:p>
      <w:r>
        <w:rPr>
          <w:b/>
          <w:bCs/>
        </w:rPr>
        <w:t xml:space="preserve">Relator: </w:t>
      </w:r>
      <w:r>
        <w:t xml:space="preserve">GRACCHO AURÉLIO</w:t>
      </w:r>
    </w:p>
    <w:p/>
    <w:p>
      <w:r>
        <w:t xml:space="preserve">08. LOCAÇÃO — INOPONIBILIDADE DO CONTRATO AO NOVO ADQUIRENTE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8 LOCAÇÃO - INOPONIBILIDADE DO CONTRATO AO NOVO ADQUIRENTE. "A cláusula genérica de obrigar herdeiros e sucessores, não basta para a oponibilidade prevista no art. 1.197 do Código Civil." REFERÊNCIA: Uniformização de Jurisprudência nº 13 na Apelação Cível nº 6.187 - Julgamento em 11.09.78. Relator: Des. GRACCHO AURÉLIO. Registro do Acórdão em 24/04/79.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2026-10-26T02:32:46.322Z</dcterms:created>
  <dcterms:modified xsi:type="dcterms:W3CDTF">2026-10-26T02:32:46.322Z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