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Agravo de Instrumento 1.187</w:t>
      </w:r>
    </w:p>
    <w:p>
      <w:r>
        <w:rPr>
          <w:b/>
          <w:bCs/>
        </w:rPr>
        <w:t xml:space="preserve">Relator: </w:t>
      </w:r>
      <w:r>
        <w:t xml:space="preserve">DÉCIO CRETTON</w:t>
      </w:r>
    </w:p>
    <w:p/>
    <w:p>
      <w:r>
        <w:t xml:space="preserve">09. IMPOSTO DE TRANSMISSÃO "CAUSA MORTIS"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9 IMPOSTO DE TRANSMISSÃO "CAUSA MORTIS". "É devido o imposto de transmissão "causa mortis", quando o quinhão hereditário for menor do que o limite fixado no art. 75, nº XI, do Dec. Lei nº 5, de 15 de março de 1975, se o seu fato gerador ocorreu antes, mesmo em face do art. 21 do Dec. nº 27/1975 (revogado pelo Dec. nº 910, de 27 de setembro de 1976) e durante a sua vigência." REFERÊNCIA: Uniformização de Jurisprudência nº 11 no Agravo de Instrumento nº 1.187 - Julgamento em 29.09.78. Relator: Des. DÉCIO CRETTON. Registro do Acórdão em 07/03/79.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2026-06-17T15:25:31.752Z</dcterms:created>
  <dcterms:modified xsi:type="dcterms:W3CDTF">2026-06-17T15:25:31.752Z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