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2.508</w:t>
      </w:r>
    </w:p>
    <w:p>
      <w:r>
        <w:rPr>
          <w:b/>
          <w:bCs/>
        </w:rPr>
        <w:t xml:space="preserve">Relator: </w:t>
      </w:r>
      <w:r>
        <w:t xml:space="preserve">MORAES E BARROS</w:t>
      </w:r>
    </w:p>
    <w:p/>
    <w:p>
      <w:r>
        <w:t xml:space="preserve">10. ENFITEUSE — VALOR DO RESGATE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10 ENFITEUSE - VALOR DO RESGATE. "O valor do imóvel, para o efeito do resgate da enfiteuse, será o real atual proposto pelo titular do domínio direto ou, se inaceito, mediante avaliação." REFERÊNCIA: Uniformização de Jurisprudência nº 12 nos Embargos Infringentes na Apelação Cível nº 2.508 - Julgamento em 30.10.78. Relator: Des. MORAES E BARROS. Registro do Acórdão em 05/04/79.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2026-06-17T14:06:33.115Z</dcterms:created>
  <dcterms:modified xsi:type="dcterms:W3CDTF">2026-06-17T14:06:33.115Z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