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Recurso: </w:t>
      </w:r>
      <w:r>
        <w:t xml:space="preserve">Apelação Cível 2.508</w:t>
      </w:r>
    </w:p>
    <w:p>
      <w:r>
        <w:rPr>
          <w:b/>
          <w:bCs/>
        </w:rPr>
        <w:t xml:space="preserve">Relator: </w:t>
      </w:r>
      <w:r>
        <w:t xml:space="preserve">MORAES E BARROS</w:t>
      </w:r>
    </w:p>
    <w:p/>
    <w:p>
      <w:r>
        <w:t xml:space="preserve">10. ENFITEUSE — VALOR DO RESGATE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10 ENFITEUSE - VALOR DO RESGATE. "O valor do imóvel, para o efeito do resgate da enfiteuse, será o real atual proposto pelo titular do domínio direto ou, se inaceito, mediante avaliação." REFERÊNCIA: Uniformização de Jurisprudência nº 12 nos Embargos Infringentes na Apelação Cível nº 2.508 - Julgamento em 30.10.78. Relator: Des. MORAES E BARROS. Registro do Acórdão em 05/04/79.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2026-10-26T02:34:17.076Z</dcterms:created>
  <dcterms:modified xsi:type="dcterms:W3CDTF">2026-10-26T02:34:17.076Z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