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Recurso: </w:t>
      </w:r>
      <w:r>
        <w:t xml:space="preserve">Apelação Cível 13.069</w:t>
      </w:r>
    </w:p>
    <w:p>
      <w:r>
        <w:rPr>
          <w:b/>
          <w:bCs/>
        </w:rPr>
        <w:t xml:space="preserve">Relator: </w:t>
      </w:r>
      <w:r>
        <w:t xml:space="preserve">FONSECA PASSOS</w:t>
      </w:r>
    </w:p>
    <w:p/>
    <w:p>
      <w:r>
        <w:t xml:space="preserve">13. USUFRUTO — EXTINÇÃO POR MORTE DO USUFRUTUÁRIO - DESNECESSIDADE DE PROCEDIMENTO JUDICIAL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13 USUFRUTO - EXTINÇÃO POR MORTE DO USUFRUTUÁRIO - DESNECESSIDADE DE PROCEDIMENTO JUDICIAL. "Extinto pela morte do usufrutuário, o usufruto instituído por ato "intervivos", o cancelamento do gravame, no Registro de Imóveis, independe de prévia decisão judicial." REFERÊNCIA: Uniformização de Jurisprudência nº 19 na Apelação Cível nº 13.069 - Julgamento em 24.05.82. Relator: Des. FONSECA PASSOS. Registro do Acórdão em 03/08/82.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2026-10-26T02:37:37.098Z</dcterms:created>
  <dcterms:modified xsi:type="dcterms:W3CDTF">2026-10-26T02:37:37.098Z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