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37.896</w:t>
      </w:r>
    </w:p>
    <w:p>
      <w:r>
        <w:rPr>
          <w:b/>
          <w:bCs/>
        </w:rPr>
        <w:t xml:space="preserve">Relator: </w:t>
      </w:r>
      <w:r>
        <w:t xml:space="preserve">ANTÔNIO ASSUMPÇÃO</w:t>
      </w:r>
    </w:p>
    <w:p/>
    <w:p>
      <w:r>
        <w:t xml:space="preserve">19. ACIDENTE DO TRABALHO — INDENIZAÇÃO DE DIREITO COMUM - COMPETÊNCIA RECURSAL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19 ACIDENTE DO TRABALHO - INDENIZAÇÃO DE DIREITO COMUM - COMPETÊNCIA RECURSAL - UNIFORMIZAÇÃO DA JURISPRUDÊNCIA. "É competente o Egrégio Tribunal de Justiça para as ações de direito comum relativas a acidentes do trabalho." REFERÊNCIA: Uniformização de Jurisprudência nº 01/86 na Apelação Cível nº 37.896 - Julgamento em 30.03.87. Relator: Des. ANTÔNIO ASSUMPÇÃO. Registro do Acórdão em 14/08/87.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2026-06-17T16:34:05.026Z</dcterms:created>
  <dcterms:modified xsi:type="dcterms:W3CDTF">2026-06-17T16:34:05.026Z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