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986</w:t>
      </w:r>
    </w:p>
    <w:p>
      <w:r>
        <w:rPr>
          <w:b/>
          <w:bCs/>
        </w:rPr>
        <w:t xml:space="preserve">Relator: </w:t>
      </w:r>
      <w:r>
        <w:t xml:space="preserve">ASTROGILDO DE FREITAS</w:t>
      </w:r>
    </w:p>
    <w:p/>
    <w:p>
      <w:r>
        <w:t xml:space="preserve">20. ICM — FORNECIMENTO DE ALIMENTAÇÃO E BEBIDAS EM RESTAURANTES OU SIMILARES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20 ICM - FORNECIMENTO DE ALIMENTAÇÃO E BEBIDAS EM RESTAURANTES OU SIMILARES - UNIFORMIZAÇÃO DA JURISPRUDÊNCIA. "Prevista, como está, em lei estadual, a base de cálculo, legítima é a exigência do ICM no fornecimento de alimentação e bebidas em restaurantes, bares e estabelecimentos similares." REFERÊNCIA: Uniformização de Jurisprudência nº 001/87 na Apelação Cível nº 986 - Julgamento em 17.08.87. Relator: Des. ASTROGILDO DE FREITAS. Registro do Acórdão em 04/11/87.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2026-09-10T23:22:16.901Z</dcterms:created>
  <dcterms:modified xsi:type="dcterms:W3CDTF">2026-09-10T23:22:16.901Z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