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986</w:t>
      </w:r>
    </w:p>
    <w:p>
      <w:r>
        <w:rPr>
          <w:b/>
          <w:bCs/>
        </w:rPr>
        <w:t xml:space="preserve">Relator: </w:t>
      </w:r>
      <w:r>
        <w:t xml:space="preserve">ASTROGILDO DE FREITAS</w:t>
      </w:r>
    </w:p>
    <w:p/>
    <w:p>
      <w:r>
        <w:t xml:space="preserve">20. ICM — FORNECIMENTO DE ALIMENTAÇÃO E BEBIDAS EM RESTAURANTES OU SIMILARES - UNIFORMIZAÇÃO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20 ICM - FORNECIMENTO DE ALIMENTAÇÃO E BEBIDAS EM RESTAURANTES OU SIMILARES - UNIFORMIZAÇÃO DA JURISPRUDÊNCIA. "Prevista, como está, em lei estadual, a base de cálculo, legítima é a exigência do ICM no fornecimento de alimentação e bebidas em restaurantes, bares e estabelecimentos similares." REFERÊNCIA: Uniformização de Jurisprudência nº 001/87 na Apelação Cível nº 986 - Julgamento em 17.08.87. Relator: Des. ASTROGILDO DE FREITAS. Registro do Acórdão em 04/11/87.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2026-10-26T02:41:22.530Z</dcterms:created>
  <dcterms:modified xsi:type="dcterms:W3CDTF">2026-10-26T02:41:22.530Z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