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Agravo de Instrumento 785/90</w:t>
      </w:r>
    </w:p>
    <w:p>
      <w:r>
        <w:rPr>
          <w:b/>
          <w:bCs/>
        </w:rPr>
        <w:t xml:space="preserve">Relator: </w:t>
      </w:r>
      <w:r>
        <w:t xml:space="preserve">HUMBERTO MANES</w:t>
      </w:r>
    </w:p>
    <w:p/>
    <w:p>
      <w:r>
        <w:t xml:space="preserve">26. INVENTÁRIO — PARTILHA DE BENS - DESPACHO DE DELIBERAÇÃO DA PARTILHA - RECURSO - ART. 1022 DO C.P.C.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26 INVENTÁRIO - PARTILHA DE BENS - DESPACHO DE DELIBERAÇÃO DA PARTILHA - RECURSO - ART. 1022 DO C.P.C. - UNIFORMIZAÇÃO DE JURISPRUDÊNCIA. "É recorrível o despacho de deliberação da partilha no inventário." REFERÊNCIA: Uniformização de Jurisprudência nº 01/91 no Agravo de Instrumento nº 785/90 - Julgamento em 29/04/91. Relator: Des. HUMBERTO MANES. Registro do Acórdão em 08/07/91.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2026-06-17T14:07:32.579Z</dcterms:created>
  <dcterms:modified xsi:type="dcterms:W3CDTF">2026-06-17T14:07:32.579Z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