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5.246/89</w:t>
      </w:r>
    </w:p>
    <w:p>
      <w:r>
        <w:rPr>
          <w:b/>
          <w:bCs/>
        </w:rPr>
        <w:t xml:space="preserve">Relator: </w:t>
      </w:r>
      <w:r>
        <w:t xml:space="preserve">BARBOSA MOREIRA</w:t>
      </w:r>
    </w:p>
    <w:p/>
    <w:p>
      <w:r>
        <w:t xml:space="preserve">27. CONSIGNAÇÃO EM PAGAMENTO — BANERJ S/A - FORO COMPETENTE - UNIFORMIZAÇÃO DA JURISPRUDÊNCIA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27 CONSIGNAÇÃO EM PAGAMENTO - BANERJ S/A - FORO COMPETENTE - UNIFORMIZAÇÃO DA JURISPRUDÊNCIA. "Para julgar ação de consignação em pagamento em que seja réu o BANERJ, o foro competente é o do lugar em que o pagamento deve ser efetuado." REFERÊNCIA: Uniformização de Jurisprudência nº 03/91 na Apelação Cível nº 5.246/89 - Julgamento em 25/11/91. Relator: Des. BARBOSA MOREIRA. Registro do Acórdão em 23/04/92.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2026-10-26T05:00:36.082Z</dcterms:created>
  <dcterms:modified xsi:type="dcterms:W3CDTF">2026-10-26T05:00:36.082Z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