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RES ANVS/DC Nº 98 DE 20-11-2000</w:t>
      </w:r>
    </w:p>
    <w:p/>
    <w:p>
      <w:r>
        <w:rPr>
          <w:b/>
          <w:bCs/>
        </w:rPr>
        <w:t xml:space="preserve">Relator: </w:t>
      </w:r>
      <w:r>
        <w:t xml:space="preserve">MOLEDO SARTORI</w:t>
      </w:r>
    </w:p>
    <w:p/>
    <w:p>
      <w:r>
        <w:t xml:space="preserve">28. CONFLITO DE COMPETÊNCIA — MODIFICAÇÃO DE CLÁUSULA DO DIVÓRCIO - UNIFORMIZAÇÃO DA JURISPRUDÊNCIA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PROPOSIÇÃO Nº 28 CONFLITO DE COMPETÊNCIA - MODIFICAÇÃO DE CLÁUSULA DO DIVÓRCIO - UNIFORMIZAÇÃO DA JURISPRUDÊNCIA. "Para efeito de distribuição, não há vinculação entre a causa nova e a causa finda." REFERÊNCIA: Uniformização de Jurisprudência nº 02/91 no Conflito de Competência nº 43/89 - Julgamento em 25/11/91. Relator: Des. MOLEDO SARTORI. Registro do Acórdão em 21/09/92.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2026-09-11T00:27:22.913Z</dcterms:created>
  <dcterms:modified xsi:type="dcterms:W3CDTF">2026-09-11T00:27:22.913Z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