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RES ANVS/DC Nº 98 DE 20-11-2000</w:t>
      </w:r>
    </w:p>
    <w:p/>
    <w:p>
      <w:r>
        <w:rPr>
          <w:b/>
          <w:bCs/>
        </w:rPr>
        <w:t xml:space="preserve">Relator: </w:t>
      </w:r>
      <w:r>
        <w:t xml:space="preserve">MOLEDO SARTORI</w:t>
      </w:r>
    </w:p>
    <w:p/>
    <w:p>
      <w:r>
        <w:t xml:space="preserve">28. CONFLITO DE COMPETÊNCIA — MODIFICAÇÃO DE CLÁUSULA DO DIVÓRCIO - UNIFORMIZAÇÃO DA JURISPRUDÊNCIA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PROPOSIÇÃO Nº 28 CONFLITO DE COMPETÊNCIA - MODIFICAÇÃO DE CLÁUSULA DO DIVÓRCIO - UNIFORMIZAÇÃO DA JURISPRUDÊNCIA. "Para efeito de distribuição, não há vinculação entre a causa nova e a causa finda." REFERÊNCIA: Uniformização de Jurisprudência nº 02/91 no Conflito de Competência nº 43/89 - Julgamento em 25/11/91. Relator: Des. MOLEDO SARTORI. Registro do Acórdão em 21/09/92.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2026-06-17T14:14:28.546Z</dcterms:created>
  <dcterms:modified xsi:type="dcterms:W3CDTF">2026-06-17T14:14:28.546Z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