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Relator: </w:t>
      </w:r>
      <w:r>
        <w:t xml:space="preserve">MOLEDO SARTORI</w:t>
      </w:r>
    </w:p>
    <w:p/>
    <w:p>
      <w:r>
        <w:t xml:space="preserve">28. CONFLITO DE COMPETÊNCIA — MODIFICAÇÃO DE CLÁUSULA DO DIVÓRCIO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28 CONFLITO DE COMPETÊNCIA - MODIFICAÇÃO DE CLÁUSULA DO DIVÓRCIO - UNIFORMIZAÇÃO DA JURISPRUDÊNCIA. "Para efeito de distribuição, não há vinculação entre a causa nova e a causa finda." REFERÊNCIA: Uniformização de Jurisprudência nº 02/91 no Conflito de Competência nº 43/89 - Julgamento em 25/11/91. Relator: Des. MOLEDO SARTORI. Registro do Acórdão em 21/09/92.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2026-10-26T06:07:38.424Z</dcterms:created>
  <dcterms:modified xsi:type="dcterms:W3CDTF">2026-10-26T06:07:38.424Z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