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Agravo de Instrumento 2.004/94</w:t>
      </w:r>
    </w:p>
    <w:p>
      <w:r>
        <w:rPr>
          <w:b/>
          <w:bCs/>
        </w:rPr>
        <w:t xml:space="preserve">Relator: </w:t>
      </w:r>
      <w:r>
        <w:t xml:space="preserve">FERREIRA PINTO</w:t>
      </w:r>
    </w:p>
    <w:p/>
    <w:p>
      <w:r>
        <w:t xml:space="preserve">31. COMPETÊNCIA DAS VARAS CÍVEIS REGIONAIS DE SANTA CRUZ E ILHA DO GOVERNADOR — MATÉRIA ORFANOLÓGICA - LEI ESTADUAL Nº 829/85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31 COMPETÊNCIA DAS VARAS CÍVEIS REGIONAIS DE SANTA CRUZ E ILHA DO GOVERNADOR - MATÉRIA ORFANOLÓGICA - LEI ESTADUAL Nº 829/85. "Competem às Varas Cíveis Regionais de Santa Cruz e Ilha do Governador o processo e julgamento da matéria orfanológica prevista no artigo 108 do Código de Organização Judiciária do Estado." REFERÊNCIA: Uniformização de Jurisprudência nº 04/95 no Agravo de Instrumento nº 2.004/94 - Julgamento em 20/03/96 - Votação unânime - Relator: Des. FERREIRA PINTO - Registro do Acórdão em 03/05/96 - f. 38/40.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2026-06-17T14:14:43.408Z</dcterms:created>
  <dcterms:modified xsi:type="dcterms:W3CDTF">2026-06-17T14:14:43.409Z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