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2.737/94</w:t>
      </w:r>
    </w:p>
    <w:p/>
    <w:p>
      <w:r>
        <w:t xml:space="preserve">33. USUCAPIÃO — IMÓVEL URBANO - PRESCRIÇÃO QÜINQÜENAL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33 USUCAPIÃO - IMÓVEL URBANO - PRESCRIÇÃO QÜINQÜENAL. "O prazo de cinco anos do artigo 183 da Constituição Federal de 1988, aplica-se a partir de 05/10/1988, data de sua vigência, salvo se, pela lei anterior, ocorrer a prescrição aquisitiva no curso dessa dilação." REFERÊNCIA: Uniformização de Jurisprudência nº 01/94, na Apelação Cível nº 2.737/94 - Julgamento em 20/03/96 - Votação por maioria absoluta - Relator Designado: Des. MELLO SERRA - Registro de Acórdão em 21/08/96 - f. 83/91.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2026-10-26T05:00:29.883Z</dcterms:created>
  <dcterms:modified xsi:type="dcterms:W3CDTF">2026-10-26T05:00:29.883Z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