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2.737/94</w:t>
      </w:r>
    </w:p>
    <w:p/>
    <w:p>
      <w:r>
        <w:t xml:space="preserve">33. USUCAPIÃO — IMÓVEL URBANO - PRESCRIÇÃO QÜINQÜENAL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33 USUCAPIÃO - IMÓVEL URBANO - PRESCRIÇÃO QÜINQÜENAL. "O prazo de cinco anos do artigo 183 da Constituição Federal de 1988, aplica-se a partir de 05/10/1988, data de sua vigência, salvo se, pela lei anterior, ocorrer a prescrição aquisitiva no curso dessa dilação." REFERÊNCIA: Uniformização de Jurisprudência nº 01/94, na Apelação Cível nº 2.737/94 - Julgamento em 20/03/96 - Votação por maioria absoluta - Relator Designado: Des. MELLO SERRA - Registro de Acórdão em 21/08/96 - f. 83/91.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2026-09-10T22:15:22.855Z</dcterms:created>
  <dcterms:modified xsi:type="dcterms:W3CDTF">2026-09-10T22:15:22.855Z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