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2.737/94</w:t>
      </w:r>
    </w:p>
    <w:p/>
    <w:p>
      <w:r>
        <w:t xml:space="preserve">33. USUCAPIÃO — IMÓVEL URBANO - PRESCRIÇÃO QÜINQÜENAL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33 USUCAPIÃO - IMÓVEL URBANO - PRESCRIÇÃO QÜINQÜENAL. "O prazo de cinco anos do artigo 183 da Constituição Federal de 1988, aplica-se a partir de 05/10/1988, data de sua vigência, salvo se, pela lei anterior, ocorrer a prescrição aquisitiva no curso dessa dilação." REFERÊNCIA: Uniformização de Jurisprudência nº 01/94, na Apelação Cível nº 2.737/94 - Julgamento em 20/03/96 - Votação por maioria absoluta - Relator Designado: Des. MELLO SERRA - Registro de Acórdão em 21/08/96 - f. 83/91.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2026-06-17T16:46:32.984Z</dcterms:created>
  <dcterms:modified xsi:type="dcterms:W3CDTF">2026-06-17T16:46:32.984Z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