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3982/96</w:t>
      </w:r>
    </w:p>
    <w:p/>
    <w:p>
      <w:r>
        <w:t xml:space="preserve">35. CLUBE — TAXA DE OCUPAÇÃO - ESTATUTO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35 CLUBE - TAXA DE OCUPAÇÃO - ESTATUTO SOCIAL. "É exigível Taxa de Ocupação, instituída por Diretoria de Clube, na forma dos Estatutos Sociais, enquanto não invalidada a instituição, pelas vias próprias." REFERÊNCIA: Uniformização de Jurisprudência nº 03/97, na Apelação Cível nº 3982/96 - Julgamento em 03/12/97 - Votação por maioria - Relator Designado: Des. WILSON MARQUES - Registro de Acórdão em 08/05/98 - f. 96/117.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2026-10-26T02:33:20.907Z</dcterms:created>
  <dcterms:modified xsi:type="dcterms:W3CDTF">2026-10-26T02:33:20.907Z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