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VIGILÂNCIA SANITÁRIA</w:t>
      </w:r>
    </w:p>
    <w:p>
      <w:r>
        <w:rPr>
          <w:i/>
          <w:iCs/>
          <w:color w:val="666666"/>
        </w:rPr>
        <w:t xml:space="preserve">RES ANVS/DC Nº 98 DE 20-11-2000</w:t>
      </w:r>
    </w:p>
    <w:p/>
    <w:p>
      <w:r>
        <w:rPr>
          <w:b/>
          <w:bCs/>
        </w:rPr>
        <w:t xml:space="preserve">Recurso: </w:t>
      </w:r>
      <w:r>
        <w:t xml:space="preserve">Apelação Cível 3982/96</w:t>
      </w:r>
    </w:p>
    <w:p/>
    <w:p>
      <w:r>
        <w:t xml:space="preserve">35. CLUBE — TAXA DE OCUPAÇÃO - ESTATUTO SOCIAL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PROPOSIÇÃO Nº 35 CLUBE - TAXA DE OCUPAÇÃO - ESTATUTO SOCIAL. "É exigível Taxa de Ocupação, instituída por Diretoria de Clube, na forma dos Estatutos Sociais, enquanto não invalidada a instituição, pelas vias próprias." REFERÊNCIA: Uniformização de Jurisprudência nº 03/97, na Apelação Cível nº 3982/96 - Julgamento em 03/12/97 - Votação por maioria - Relator Designado: Des. WILSON MARQUES - Registro de Acórdão em 08/05/98 - f. 96/117.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2026-09-10T22:10:54.880Z</dcterms:created>
  <dcterms:modified xsi:type="dcterms:W3CDTF">2026-09-10T22:10:54.880Z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