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ENFERMIDADE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Julgado em: </w:t>
      </w:r>
      <w:r>
        <w:t xml:space="preserve">03/11/1980</w:t>
      </w:r>
    </w:p>
    <w:p/>
    <w:p>
      <w:r>
        <w:t xml:space="preserve">SUA INCIDÊNCIA SOBRE O CAPITAL CORRIGIDO — COMO SE FAZ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 se o valor da indenização foi fixada em época pretérita, contemporânea à do inadimplemento, deveria ele, em princípio, ser corrigido até o momento do pagamento para que a indenização possa cumprir sua finalidade de recompor o patrimônio do credor, a lei impõe a incidência dos juros da mora. - Percebe-se, então, que a correção monetária integra o principal e com ele se confunde. Nada tem a ver com juros moratórios, complemento (ou acessório) necessário da obrigação. - No que diz respeito ao começo da correção monetária - se do inadimplemento, se da inicial - não é possível adotar uma ou outra posição como regra. Em verdade o cabimento da atualização da moeda só aparece quando se verifica que - na ocasião do pagamento o ''quantum'' não mais corresponde ao valor necessário à composição do patrimônio desfalcado... Julgado em 04-11-1980 Arquivo do Ementário Forense, TJ/927 EMFOR 393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integra o principal e com este se confunde, explicando-se, por tal modo, a incidência de juros moratórios sobre o principal corrigido.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2026-07-28T03:30:17.214Z</dcterms:created>
  <dcterms:modified xsi:type="dcterms:W3CDTF">2026-07-28T03:30:17.214Z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